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EAA" w14:textId="037838B2" w:rsidR="0093433F" w:rsidRPr="008E4D0D" w:rsidRDefault="0093433F">
      <w:pPr>
        <w:jc w:val="center"/>
        <w:rPr>
          <w:rFonts w:ascii="Arial" w:hAnsi="Arial" w:cs="Arial"/>
          <w:sz w:val="22"/>
          <w:szCs w:val="22"/>
        </w:rPr>
      </w:pPr>
    </w:p>
    <w:p w14:paraId="3623C421" w14:textId="521A14BF" w:rsidR="008D101B" w:rsidRPr="008E4D0D" w:rsidRDefault="008D101B">
      <w:pPr>
        <w:jc w:val="center"/>
        <w:rPr>
          <w:rFonts w:ascii="Arial" w:hAnsi="Arial" w:cs="Arial"/>
          <w:sz w:val="22"/>
          <w:szCs w:val="22"/>
        </w:rPr>
      </w:pPr>
    </w:p>
    <w:p w14:paraId="3D90AA92" w14:textId="79B9652D" w:rsidR="0093433F" w:rsidRPr="008E4D0D" w:rsidRDefault="008D101B" w:rsidP="008D101B">
      <w:pPr>
        <w:jc w:val="center"/>
        <w:rPr>
          <w:rFonts w:ascii="Arial" w:hAnsi="Arial" w:cs="Arial"/>
          <w:sz w:val="22"/>
          <w:szCs w:val="22"/>
        </w:rPr>
      </w:pPr>
      <w:r w:rsidRPr="008E4D0D">
        <w:rPr>
          <w:rFonts w:ascii="Arial" w:hAnsi="Arial" w:cs="Arial"/>
          <w:b/>
          <w:noProof/>
          <w:sz w:val="22"/>
          <w:szCs w:val="22"/>
        </w:rPr>
        <w:drawing>
          <wp:inline distT="114300" distB="114300" distL="114300" distR="114300" wp14:anchorId="02C657B3" wp14:editId="57981AE0">
            <wp:extent cx="1041400" cy="794385"/>
            <wp:effectExtent l="0" t="0" r="0" b="5715"/>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5"/>
                    <a:srcRect l="10616" t="15753" r="11626" b="13013"/>
                    <a:stretch>
                      <a:fillRect/>
                    </a:stretch>
                  </pic:blipFill>
                  <pic:spPr>
                    <a:xfrm>
                      <a:off x="0" y="0"/>
                      <a:ext cx="1076322" cy="821024"/>
                    </a:xfrm>
                    <a:prstGeom prst="rect">
                      <a:avLst/>
                    </a:prstGeom>
                    <a:ln/>
                  </pic:spPr>
                </pic:pic>
              </a:graphicData>
            </a:graphic>
          </wp:inline>
        </w:drawing>
      </w:r>
    </w:p>
    <w:p w14:paraId="71EC8292" w14:textId="77777777" w:rsidR="0093433F" w:rsidRPr="008E4D0D" w:rsidRDefault="001F5732">
      <w:pPr>
        <w:jc w:val="center"/>
        <w:rPr>
          <w:rFonts w:ascii="Arial" w:hAnsi="Arial" w:cs="Arial"/>
          <w:b/>
          <w:i/>
          <w:sz w:val="22"/>
          <w:szCs w:val="22"/>
        </w:rPr>
      </w:pPr>
      <w:r w:rsidRPr="008E4D0D">
        <w:rPr>
          <w:rFonts w:ascii="Arial" w:hAnsi="Arial" w:cs="Arial"/>
          <w:b/>
          <w:i/>
          <w:sz w:val="22"/>
          <w:szCs w:val="22"/>
        </w:rPr>
        <w:t>The Teacher Educators’ Journal</w:t>
      </w:r>
    </w:p>
    <w:p w14:paraId="195A0B96" w14:textId="46AE986E" w:rsidR="0093433F" w:rsidRPr="008E4D0D" w:rsidRDefault="00517C7F">
      <w:pPr>
        <w:jc w:val="center"/>
        <w:rPr>
          <w:rFonts w:ascii="Arial" w:hAnsi="Arial" w:cs="Arial"/>
          <w:b/>
          <w:sz w:val="22"/>
          <w:szCs w:val="22"/>
        </w:rPr>
      </w:pPr>
      <w:r w:rsidRPr="00D353E8">
        <w:rPr>
          <w:rFonts w:ascii="Arial" w:hAnsi="Arial" w:cs="Arial"/>
          <w:b/>
          <w:sz w:val="22"/>
          <w:szCs w:val="22"/>
        </w:rPr>
        <w:t>Limited</w:t>
      </w:r>
      <w:r w:rsidRPr="008E4D0D">
        <w:rPr>
          <w:rFonts w:ascii="Arial" w:hAnsi="Arial" w:cs="Arial"/>
          <w:b/>
          <w:sz w:val="22"/>
          <w:szCs w:val="22"/>
        </w:rPr>
        <w:t xml:space="preserve"> </w:t>
      </w:r>
      <w:r w:rsidR="001F5732" w:rsidRPr="008E4D0D">
        <w:rPr>
          <w:rFonts w:ascii="Arial" w:hAnsi="Arial" w:cs="Arial"/>
          <w:b/>
          <w:sz w:val="22"/>
          <w:szCs w:val="22"/>
        </w:rPr>
        <w:t>Call for Manuscripts</w:t>
      </w:r>
    </w:p>
    <w:p w14:paraId="102BD1E3" w14:textId="7AA8816A" w:rsidR="00D23303" w:rsidRPr="000C434E" w:rsidRDefault="00D23303">
      <w:pPr>
        <w:jc w:val="center"/>
        <w:rPr>
          <w:rFonts w:ascii="Arial" w:hAnsi="Arial" w:cs="Arial"/>
          <w:b/>
          <w:sz w:val="16"/>
          <w:szCs w:val="16"/>
        </w:rPr>
      </w:pPr>
    </w:p>
    <w:p w14:paraId="2D79C8EE" w14:textId="5A9B2A8F" w:rsidR="00D23303" w:rsidRPr="008E4D0D" w:rsidRDefault="00D23303" w:rsidP="008E7AB1">
      <w:pPr>
        <w:jc w:val="center"/>
        <w:rPr>
          <w:rFonts w:ascii="Arial" w:hAnsi="Arial" w:cs="Arial"/>
          <w:bCs/>
          <w:i/>
          <w:iCs/>
          <w:sz w:val="22"/>
          <w:szCs w:val="22"/>
        </w:rPr>
      </w:pPr>
      <w:r w:rsidRPr="008E4D0D">
        <w:rPr>
          <w:rFonts w:ascii="Arial" w:hAnsi="Arial" w:cs="Arial"/>
          <w:bCs/>
          <w:i/>
          <w:iCs/>
          <w:sz w:val="22"/>
          <w:szCs w:val="22"/>
        </w:rPr>
        <w:t>Special Issue Theme: “Purpose, Partnership</w:t>
      </w:r>
      <w:r w:rsidR="008E7AB1" w:rsidRPr="008E4D0D">
        <w:rPr>
          <w:rFonts w:ascii="Arial" w:hAnsi="Arial" w:cs="Arial"/>
          <w:bCs/>
          <w:i/>
          <w:iCs/>
          <w:sz w:val="22"/>
          <w:szCs w:val="22"/>
        </w:rPr>
        <w:t>,</w:t>
      </w:r>
      <w:r w:rsidRPr="008E4D0D">
        <w:rPr>
          <w:rFonts w:ascii="Arial" w:hAnsi="Arial" w:cs="Arial"/>
          <w:bCs/>
          <w:i/>
          <w:iCs/>
          <w:sz w:val="22"/>
          <w:szCs w:val="22"/>
        </w:rPr>
        <w:t xml:space="preserve"> and Pedagogy: Creating Support Structures and Opportunities for Real Educational Change in Challenging Times”  </w:t>
      </w:r>
    </w:p>
    <w:p w14:paraId="2E7B2660" w14:textId="77777777" w:rsidR="0093433F" w:rsidRPr="000C434E" w:rsidRDefault="0093433F">
      <w:pPr>
        <w:rPr>
          <w:rFonts w:ascii="Arial" w:hAnsi="Arial" w:cs="Arial"/>
          <w:i/>
          <w:sz w:val="16"/>
          <w:szCs w:val="16"/>
        </w:rPr>
      </w:pPr>
    </w:p>
    <w:p w14:paraId="457C0325" w14:textId="77777777" w:rsidR="0093433F" w:rsidRPr="008E4D0D" w:rsidRDefault="001F5732">
      <w:pPr>
        <w:rPr>
          <w:rFonts w:ascii="Arial" w:hAnsi="Arial" w:cs="Arial"/>
          <w:b/>
          <w:sz w:val="22"/>
          <w:szCs w:val="22"/>
          <w:u w:val="single"/>
        </w:rPr>
      </w:pPr>
      <w:r w:rsidRPr="008E4D0D">
        <w:rPr>
          <w:rFonts w:ascii="Arial" w:hAnsi="Arial" w:cs="Arial"/>
          <w:b/>
          <w:sz w:val="22"/>
          <w:szCs w:val="22"/>
          <w:u w:val="single"/>
        </w:rPr>
        <w:t>The Call</w:t>
      </w:r>
    </w:p>
    <w:p w14:paraId="41918D37" w14:textId="6C8AEFC5" w:rsidR="0093433F" w:rsidRPr="008E4D0D" w:rsidRDefault="001F5732">
      <w:pPr>
        <w:rPr>
          <w:rFonts w:ascii="Arial" w:hAnsi="Arial" w:cs="Arial"/>
          <w:sz w:val="22"/>
          <w:szCs w:val="22"/>
        </w:rPr>
      </w:pPr>
      <w:r w:rsidRPr="008E4D0D">
        <w:rPr>
          <w:rFonts w:ascii="Arial" w:hAnsi="Arial" w:cs="Arial"/>
          <w:i/>
          <w:sz w:val="22"/>
          <w:szCs w:val="22"/>
        </w:rPr>
        <w:t>The Teacher Educators’ Journal</w:t>
      </w:r>
      <w:r w:rsidRPr="008E4D0D">
        <w:rPr>
          <w:rFonts w:ascii="Arial" w:hAnsi="Arial" w:cs="Arial"/>
          <w:sz w:val="22"/>
          <w:szCs w:val="22"/>
        </w:rPr>
        <w:t xml:space="preserve"> (</w:t>
      </w:r>
      <w:r w:rsidRPr="008E4D0D">
        <w:rPr>
          <w:rFonts w:ascii="Arial" w:hAnsi="Arial" w:cs="Arial"/>
          <w:i/>
          <w:sz w:val="22"/>
          <w:szCs w:val="22"/>
        </w:rPr>
        <w:t>TTEJ</w:t>
      </w:r>
      <w:r w:rsidRPr="008E4D0D">
        <w:rPr>
          <w:rFonts w:ascii="Arial" w:hAnsi="Arial" w:cs="Arial"/>
          <w:sz w:val="22"/>
          <w:szCs w:val="22"/>
        </w:rPr>
        <w:t>) is published by the Virginia Association of Colleges and Teacher Educators (VACTE), a state unit of the Association of Teacher Educators (ATE) and the American Association of Colleges for Teacher Education (AACTE). The journal aims to stimulate discussion and reflection about issues related to teacher education</w:t>
      </w:r>
      <w:r w:rsidR="00517C7F" w:rsidRPr="008E4D0D">
        <w:rPr>
          <w:rFonts w:ascii="Arial" w:hAnsi="Arial" w:cs="Arial"/>
          <w:sz w:val="22"/>
          <w:szCs w:val="22"/>
        </w:rPr>
        <w:t>; authors need not be based</w:t>
      </w:r>
      <w:r w:rsidR="00D66610">
        <w:rPr>
          <w:rFonts w:ascii="Arial" w:hAnsi="Arial" w:cs="Arial"/>
          <w:sz w:val="22"/>
          <w:szCs w:val="22"/>
        </w:rPr>
        <w:t xml:space="preserve"> </w:t>
      </w:r>
      <w:proofErr w:type="gramStart"/>
      <w:r w:rsidR="00D66610">
        <w:rPr>
          <w:rFonts w:ascii="Arial" w:hAnsi="Arial" w:cs="Arial"/>
          <w:sz w:val="22"/>
          <w:szCs w:val="22"/>
        </w:rPr>
        <w:t>in</w:t>
      </w:r>
      <w:proofErr w:type="gramEnd"/>
      <w:r w:rsidR="00517C7F" w:rsidRPr="008E4D0D">
        <w:rPr>
          <w:rFonts w:ascii="Arial" w:hAnsi="Arial" w:cs="Arial"/>
          <w:sz w:val="22"/>
          <w:szCs w:val="22"/>
        </w:rPr>
        <w:t xml:space="preserve"> and research need not be conducted in Virginia for manuscripts to be considered for publication</w:t>
      </w:r>
      <w:r w:rsidRPr="008E4D0D">
        <w:rPr>
          <w:rFonts w:ascii="Arial" w:hAnsi="Arial" w:cs="Arial"/>
          <w:sz w:val="22"/>
          <w:szCs w:val="22"/>
        </w:rPr>
        <w:t xml:space="preserve">. Manuscripts submitted for consideration may be research/empirical reports and analyses, position papers, book reviews, or conceptual essays. </w:t>
      </w:r>
    </w:p>
    <w:p w14:paraId="07E34A9B" w14:textId="77777777" w:rsidR="0093433F" w:rsidRPr="00451CD8" w:rsidRDefault="0093433F">
      <w:pPr>
        <w:pBdr>
          <w:top w:val="nil"/>
          <w:left w:val="nil"/>
          <w:bottom w:val="nil"/>
          <w:right w:val="nil"/>
          <w:between w:val="nil"/>
        </w:pBdr>
        <w:rPr>
          <w:rFonts w:ascii="Arial" w:hAnsi="Arial" w:cs="Arial"/>
          <w:sz w:val="16"/>
          <w:szCs w:val="16"/>
        </w:rPr>
      </w:pPr>
    </w:p>
    <w:p w14:paraId="3EA49632" w14:textId="654D7C04" w:rsidR="00E3525F" w:rsidRDefault="001F5732" w:rsidP="007B3AAC">
      <w:pPr>
        <w:pBdr>
          <w:top w:val="nil"/>
          <w:left w:val="nil"/>
          <w:bottom w:val="nil"/>
          <w:right w:val="nil"/>
          <w:between w:val="nil"/>
        </w:pBdr>
        <w:rPr>
          <w:rFonts w:ascii="Arial" w:hAnsi="Arial" w:cs="Arial"/>
          <w:sz w:val="22"/>
          <w:szCs w:val="22"/>
        </w:rPr>
      </w:pPr>
      <w:r w:rsidRPr="008E4D0D">
        <w:rPr>
          <w:rFonts w:ascii="Arial" w:hAnsi="Arial" w:cs="Arial"/>
          <w:sz w:val="22"/>
          <w:szCs w:val="22"/>
        </w:rPr>
        <w:t>T</w:t>
      </w:r>
      <w:r w:rsidRPr="008E4D0D">
        <w:rPr>
          <w:rFonts w:ascii="Arial" w:hAnsi="Arial" w:cs="Arial"/>
          <w:color w:val="000000"/>
          <w:sz w:val="22"/>
          <w:szCs w:val="22"/>
        </w:rPr>
        <w:t>o facilitate collaboration a</w:t>
      </w:r>
      <w:r w:rsidRPr="008E4D0D">
        <w:rPr>
          <w:rFonts w:ascii="Arial" w:hAnsi="Arial" w:cs="Arial"/>
          <w:sz w:val="22"/>
          <w:szCs w:val="22"/>
        </w:rPr>
        <w:t>mongst teacher education scholars and practitioners and</w:t>
      </w:r>
      <w:r w:rsidRPr="008E4D0D">
        <w:rPr>
          <w:rFonts w:ascii="Arial" w:hAnsi="Arial" w:cs="Arial"/>
          <w:color w:val="000000"/>
          <w:sz w:val="22"/>
          <w:szCs w:val="22"/>
        </w:rPr>
        <w:t xml:space="preserve"> improve teaching, research, and student learning, the </w:t>
      </w:r>
      <w:r w:rsidR="008E7AB1" w:rsidRPr="008E4D0D">
        <w:rPr>
          <w:rFonts w:ascii="Arial" w:hAnsi="Arial" w:cs="Arial"/>
          <w:sz w:val="22"/>
          <w:szCs w:val="22"/>
        </w:rPr>
        <w:t>Fall</w:t>
      </w:r>
      <w:r w:rsidR="00D23303" w:rsidRPr="008E4D0D">
        <w:rPr>
          <w:rFonts w:ascii="Arial" w:hAnsi="Arial" w:cs="Arial"/>
          <w:color w:val="000000"/>
          <w:sz w:val="22"/>
          <w:szCs w:val="22"/>
        </w:rPr>
        <w:t xml:space="preserve"> </w:t>
      </w:r>
      <w:r w:rsidRPr="008E4D0D">
        <w:rPr>
          <w:rFonts w:ascii="Arial" w:hAnsi="Arial" w:cs="Arial"/>
          <w:color w:val="000000"/>
          <w:sz w:val="22"/>
          <w:szCs w:val="22"/>
        </w:rPr>
        <w:t>20</w:t>
      </w:r>
      <w:r w:rsidRPr="008E4D0D">
        <w:rPr>
          <w:rFonts w:ascii="Arial" w:hAnsi="Arial" w:cs="Arial"/>
          <w:sz w:val="22"/>
          <w:szCs w:val="22"/>
        </w:rPr>
        <w:t>2</w:t>
      </w:r>
      <w:r w:rsidR="00C66744" w:rsidRPr="008E4D0D">
        <w:rPr>
          <w:rFonts w:ascii="Arial" w:hAnsi="Arial" w:cs="Arial"/>
          <w:sz w:val="22"/>
          <w:szCs w:val="22"/>
        </w:rPr>
        <w:t>3</w:t>
      </w:r>
      <w:r w:rsidRPr="008E4D0D">
        <w:rPr>
          <w:rFonts w:ascii="Arial" w:hAnsi="Arial" w:cs="Arial"/>
          <w:color w:val="000000"/>
          <w:sz w:val="22"/>
          <w:szCs w:val="22"/>
        </w:rPr>
        <w:t xml:space="preserve"> </w:t>
      </w:r>
      <w:r w:rsidR="00D23303" w:rsidRPr="008E4D0D">
        <w:rPr>
          <w:rFonts w:ascii="Arial" w:hAnsi="Arial" w:cs="Arial"/>
          <w:color w:val="000000"/>
          <w:sz w:val="22"/>
          <w:szCs w:val="22"/>
        </w:rPr>
        <w:t xml:space="preserve">special issue of the </w:t>
      </w:r>
      <w:r w:rsidRPr="008E4D0D">
        <w:rPr>
          <w:rFonts w:ascii="Arial" w:hAnsi="Arial" w:cs="Arial"/>
          <w:color w:val="000000"/>
          <w:sz w:val="22"/>
          <w:szCs w:val="22"/>
        </w:rPr>
        <w:t xml:space="preserve">journal </w:t>
      </w:r>
      <w:r w:rsidR="00E3525F">
        <w:rPr>
          <w:rFonts w:ascii="Arial" w:hAnsi="Arial" w:cs="Arial"/>
          <w:sz w:val="22"/>
          <w:szCs w:val="22"/>
        </w:rPr>
        <w:t>will call on authors to address two related sub-themes in two distinct sections.</w:t>
      </w:r>
    </w:p>
    <w:p w14:paraId="2BF60D06" w14:textId="53E01DBC" w:rsidR="00E3525F" w:rsidRPr="00DD53E3" w:rsidRDefault="00E3525F" w:rsidP="00DD53E3">
      <w:pPr>
        <w:pStyle w:val="ListParagraph"/>
        <w:numPr>
          <w:ilvl w:val="0"/>
          <w:numId w:val="17"/>
        </w:numPr>
        <w:pBdr>
          <w:top w:val="nil"/>
          <w:left w:val="nil"/>
          <w:bottom w:val="nil"/>
          <w:right w:val="nil"/>
          <w:between w:val="nil"/>
        </w:pBdr>
        <w:rPr>
          <w:rFonts w:ascii="Arial" w:hAnsi="Arial" w:cs="Arial"/>
          <w:color w:val="000000"/>
          <w:sz w:val="22"/>
          <w:szCs w:val="22"/>
        </w:rPr>
      </w:pPr>
      <w:r w:rsidRPr="00DD53E3">
        <w:rPr>
          <w:rFonts w:ascii="Arial" w:hAnsi="Arial" w:cs="Arial"/>
          <w:color w:val="000000"/>
          <w:sz w:val="22"/>
          <w:szCs w:val="22"/>
        </w:rPr>
        <w:t>S</w:t>
      </w:r>
      <w:r w:rsidR="00CD7F71" w:rsidRPr="00DD53E3">
        <w:rPr>
          <w:rFonts w:ascii="Arial" w:hAnsi="Arial" w:cs="Arial"/>
          <w:color w:val="000000"/>
          <w:sz w:val="22"/>
          <w:szCs w:val="22"/>
        </w:rPr>
        <w:t xml:space="preserve">ection I: </w:t>
      </w:r>
      <w:r w:rsidR="0052704E">
        <w:rPr>
          <w:rFonts w:ascii="Arial" w:hAnsi="Arial" w:cs="Arial"/>
          <w:color w:val="000000"/>
          <w:sz w:val="22"/>
          <w:szCs w:val="22"/>
        </w:rPr>
        <w:t xml:space="preserve">The sub-theme for this section is “Opportunity Gaps and Collaborative Inquiry: </w:t>
      </w:r>
      <w:r w:rsidR="00177293">
        <w:rPr>
          <w:rFonts w:ascii="Arial" w:hAnsi="Arial" w:cs="Arial"/>
          <w:color w:val="000000"/>
          <w:sz w:val="22"/>
          <w:szCs w:val="22"/>
        </w:rPr>
        <w:t xml:space="preserve">Structures, Explorations, and Early Outcomes of the </w:t>
      </w:r>
      <w:r w:rsidR="0052704E">
        <w:rPr>
          <w:rFonts w:ascii="Arial" w:hAnsi="Arial" w:cs="Arial"/>
          <w:color w:val="000000"/>
          <w:sz w:val="22"/>
          <w:szCs w:val="22"/>
        </w:rPr>
        <w:t>ATE Inquiry Initiative</w:t>
      </w:r>
      <w:r w:rsidR="00177293">
        <w:rPr>
          <w:rFonts w:ascii="Arial" w:hAnsi="Arial" w:cs="Arial"/>
          <w:color w:val="000000"/>
          <w:sz w:val="22"/>
          <w:szCs w:val="22"/>
        </w:rPr>
        <w:t>.”</w:t>
      </w:r>
    </w:p>
    <w:p w14:paraId="7A7C4916" w14:textId="58C091B4" w:rsidR="00AC5843" w:rsidRPr="00DD53E3" w:rsidRDefault="00CD7F71" w:rsidP="00DD53E3">
      <w:pPr>
        <w:pStyle w:val="ListParagraph"/>
        <w:numPr>
          <w:ilvl w:val="0"/>
          <w:numId w:val="17"/>
        </w:numPr>
        <w:pBdr>
          <w:top w:val="nil"/>
          <w:left w:val="nil"/>
          <w:bottom w:val="nil"/>
          <w:right w:val="nil"/>
          <w:between w:val="nil"/>
        </w:pBdr>
        <w:rPr>
          <w:rFonts w:ascii="Arial" w:hAnsi="Arial" w:cs="Arial"/>
          <w:sz w:val="22"/>
          <w:szCs w:val="22"/>
        </w:rPr>
      </w:pPr>
      <w:r w:rsidRPr="00DD53E3">
        <w:rPr>
          <w:rFonts w:ascii="Arial" w:hAnsi="Arial" w:cs="Arial"/>
          <w:color w:val="000000"/>
          <w:sz w:val="22"/>
          <w:szCs w:val="22"/>
        </w:rPr>
        <w:t xml:space="preserve">Section II: The </w:t>
      </w:r>
      <w:r w:rsidR="0052704E">
        <w:rPr>
          <w:rFonts w:ascii="Arial" w:hAnsi="Arial" w:cs="Arial"/>
          <w:color w:val="000000"/>
          <w:sz w:val="22"/>
          <w:szCs w:val="22"/>
        </w:rPr>
        <w:t>sub-</w:t>
      </w:r>
      <w:r w:rsidRPr="00DD53E3">
        <w:rPr>
          <w:rFonts w:ascii="Arial" w:hAnsi="Arial" w:cs="Arial"/>
          <w:color w:val="000000"/>
          <w:sz w:val="22"/>
          <w:szCs w:val="22"/>
        </w:rPr>
        <w:t xml:space="preserve">theme for this section is </w:t>
      </w:r>
      <w:r w:rsidR="008E7AB1" w:rsidRPr="00DD53E3">
        <w:rPr>
          <w:rFonts w:ascii="Arial" w:hAnsi="Arial" w:cs="Arial"/>
          <w:color w:val="000000"/>
          <w:sz w:val="22"/>
          <w:szCs w:val="22"/>
        </w:rPr>
        <w:t>“From Policy to Practice: Striving for Inclusive Excellence through Personal Reflection, Connectivity, and the Building of Support Systems for Leaders, Educators, Students, and Families."</w:t>
      </w:r>
    </w:p>
    <w:p w14:paraId="17E3BC90" w14:textId="220480C3" w:rsidR="00682872" w:rsidRPr="00451CD8" w:rsidRDefault="00682872" w:rsidP="00682872">
      <w:pPr>
        <w:pBdr>
          <w:top w:val="nil"/>
          <w:left w:val="nil"/>
          <w:bottom w:val="nil"/>
          <w:right w:val="nil"/>
          <w:between w:val="nil"/>
        </w:pBdr>
        <w:rPr>
          <w:rFonts w:ascii="Arial" w:hAnsi="Arial" w:cs="Arial"/>
          <w:color w:val="000000"/>
          <w:sz w:val="16"/>
          <w:szCs w:val="16"/>
        </w:rPr>
      </w:pPr>
    </w:p>
    <w:p w14:paraId="534AD979" w14:textId="3BB50085" w:rsidR="00177293" w:rsidRPr="00DD53E3" w:rsidRDefault="00177293" w:rsidP="00DD53E3">
      <w:pPr>
        <w:pStyle w:val="NormalWeb"/>
        <w:shd w:val="clear" w:color="auto" w:fill="FFFFFF"/>
        <w:spacing w:before="0" w:beforeAutospacing="0" w:after="0" w:afterAutospacing="0"/>
        <w:rPr>
          <w:rFonts w:ascii="Arial" w:hAnsi="Arial" w:cs="Arial"/>
          <w:sz w:val="22"/>
          <w:szCs w:val="22"/>
        </w:rPr>
      </w:pPr>
      <w:r>
        <w:rPr>
          <w:rFonts w:ascii="Arial" w:hAnsi="Arial" w:cs="Arial"/>
          <w:color w:val="000000"/>
          <w:sz w:val="22"/>
          <w:szCs w:val="22"/>
        </w:rPr>
        <w:t xml:space="preserve">Using ATE’s </w:t>
      </w:r>
      <w:hyperlink r:id="rId6" w:history="1">
        <w:r>
          <w:rPr>
            <w:rStyle w:val="Hyperlink"/>
            <w:rFonts w:ascii="Arial" w:hAnsi="Arial" w:cs="Arial"/>
            <w:b/>
            <w:bCs/>
            <w:color w:val="1155CC"/>
            <w:sz w:val="22"/>
            <w:szCs w:val="22"/>
          </w:rPr>
          <w:t>Standards for Teacher Educators</w:t>
        </w:r>
      </w:hyperlink>
      <w:r>
        <w:rPr>
          <w:rFonts w:ascii="Arial" w:hAnsi="Arial" w:cs="Arial"/>
          <w:b/>
          <w:bCs/>
          <w:color w:val="1155CC"/>
          <w:sz w:val="22"/>
          <w:szCs w:val="22"/>
        </w:rPr>
        <w:t xml:space="preserve"> </w:t>
      </w:r>
      <w:r>
        <w:rPr>
          <w:rFonts w:ascii="Arial" w:hAnsi="Arial" w:cs="Arial"/>
          <w:color w:val="000000"/>
          <w:sz w:val="22"/>
          <w:szCs w:val="22"/>
        </w:rPr>
        <w:t xml:space="preserve">as a guide, the range of potential topics might </w:t>
      </w:r>
      <w:r w:rsidRPr="00DD53E3">
        <w:rPr>
          <w:rFonts w:ascii="Arial" w:hAnsi="Arial" w:cs="Arial"/>
          <w:color w:val="000000"/>
          <w:sz w:val="22"/>
          <w:szCs w:val="22"/>
        </w:rPr>
        <w:t xml:space="preserve">include, but is not limited to, how our teacher education activities (e.g., clinical experience structures, teaching methods, school-university partnerships, course designs, etc.) might address or explore opportunity gaps </w:t>
      </w:r>
      <w:r w:rsidR="00DD53E3" w:rsidRPr="00DD53E3">
        <w:rPr>
          <w:rFonts w:ascii="Arial" w:hAnsi="Arial" w:cs="Arial"/>
          <w:color w:val="000000"/>
          <w:sz w:val="22"/>
          <w:szCs w:val="22"/>
        </w:rPr>
        <w:t>and/or inclusive excellence by</w:t>
      </w:r>
      <w:r w:rsidRPr="00DD53E3">
        <w:rPr>
          <w:rFonts w:ascii="Arial" w:hAnsi="Arial" w:cs="Arial"/>
          <w:color w:val="000000"/>
          <w:sz w:val="22"/>
          <w:szCs w:val="22"/>
        </w:rPr>
        <w:t>:</w:t>
      </w:r>
    </w:p>
    <w:p w14:paraId="7985DA75" w14:textId="77777777"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Addressing current political contexts, realities, debates, and discussions.</w:t>
      </w:r>
    </w:p>
    <w:p w14:paraId="1F1AC31A" w14:textId="605B92BF"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Assisting PK-12 students’, teachers’, teacher candidates’ return to school and learning post-pandemic.</w:t>
      </w:r>
    </w:p>
    <w:p w14:paraId="60BB7504" w14:textId="2D4D90DC"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Engaging school</w:t>
      </w:r>
      <w:r w:rsidR="00D353E8">
        <w:rPr>
          <w:rFonts w:ascii="Arial" w:hAnsi="Arial" w:cs="Arial"/>
          <w:color w:val="000000"/>
          <w:sz w:val="22"/>
          <w:szCs w:val="22"/>
        </w:rPr>
        <w:t>/</w:t>
      </w:r>
      <w:r w:rsidRPr="00DD53E3">
        <w:rPr>
          <w:rFonts w:ascii="Arial" w:hAnsi="Arial" w:cs="Arial"/>
          <w:color w:val="000000"/>
          <w:sz w:val="22"/>
          <w:szCs w:val="22"/>
        </w:rPr>
        <w:t>university constituents with antiracist-</w:t>
      </w:r>
      <w:r w:rsidR="00D353E8">
        <w:rPr>
          <w:rFonts w:ascii="Arial" w:hAnsi="Arial" w:cs="Arial"/>
          <w:color w:val="000000"/>
          <w:sz w:val="22"/>
          <w:szCs w:val="22"/>
        </w:rPr>
        <w:t>/</w:t>
      </w:r>
      <w:r w:rsidRPr="00DD53E3">
        <w:rPr>
          <w:rFonts w:ascii="Arial" w:hAnsi="Arial" w:cs="Arial"/>
          <w:color w:val="000000"/>
          <w:sz w:val="22"/>
          <w:szCs w:val="22"/>
        </w:rPr>
        <w:t>social justice-focused pedagogies.</w:t>
      </w:r>
    </w:p>
    <w:p w14:paraId="1284F99D" w14:textId="77777777"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Evolving to be more responsive and effective, with insights drawn from virtual and hybrid pedagogies developed and employed over the past three years.</w:t>
      </w:r>
    </w:p>
    <w:p w14:paraId="1268C9BD" w14:textId="13BB01EB"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Addressing the well-being, mental health, social-emotional learning needs of PK-12 students, teachers, and teacher candidates.</w:t>
      </w:r>
    </w:p>
    <w:p w14:paraId="591018FF" w14:textId="08455E7B" w:rsidR="00177293" w:rsidRPr="00DD53E3" w:rsidRDefault="00177293" w:rsidP="00DD53E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Scaffolding new teachers in demonstrating content and professional knowledge and dispositions.</w:t>
      </w:r>
    </w:p>
    <w:p w14:paraId="6D9A3CC5" w14:textId="522A574B" w:rsidR="00DD53E3" w:rsidRPr="00DD53E3" w:rsidRDefault="00177293" w:rsidP="00451CD8">
      <w:pPr>
        <w:pStyle w:val="NormalWeb"/>
        <w:numPr>
          <w:ilvl w:val="0"/>
          <w:numId w:val="18"/>
        </w:numPr>
        <w:spacing w:before="0" w:beforeAutospacing="0" w:after="0" w:afterAutospacing="0"/>
        <w:ind w:right="-450"/>
        <w:textAlignment w:val="baseline"/>
        <w:rPr>
          <w:rFonts w:ascii="Arial" w:hAnsi="Arial" w:cs="Arial"/>
          <w:color w:val="000000"/>
          <w:sz w:val="22"/>
          <w:szCs w:val="22"/>
        </w:rPr>
      </w:pPr>
      <w:r w:rsidRPr="00DD53E3">
        <w:rPr>
          <w:rFonts w:ascii="Arial" w:hAnsi="Arial" w:cs="Arial"/>
          <w:color w:val="000000"/>
          <w:sz w:val="22"/>
          <w:szCs w:val="22"/>
        </w:rPr>
        <w:t>Encouraging teachers, teacher candidates, teacher educators, youths to participate in collaborative inquiries.</w:t>
      </w:r>
    </w:p>
    <w:p w14:paraId="303A22CE" w14:textId="536EBE3A" w:rsidR="00DD53E3" w:rsidRPr="00DD53E3" w:rsidRDefault="00177293" w:rsidP="00720CF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Enabling university- and school-based teacher educators to develop and implement authentic teacher education evaluation and accreditation structures.</w:t>
      </w:r>
    </w:p>
    <w:p w14:paraId="6F789BB0" w14:textId="5A84A211" w:rsidR="00DD53E3" w:rsidRPr="00DD53E3" w:rsidRDefault="00177293" w:rsidP="00720CF3">
      <w:pPr>
        <w:pStyle w:val="NormalWeb"/>
        <w:numPr>
          <w:ilvl w:val="0"/>
          <w:numId w:val="18"/>
        </w:numPr>
        <w:spacing w:before="0" w:beforeAutospacing="0" w:after="0" w:afterAutospacing="0"/>
        <w:textAlignment w:val="baseline"/>
        <w:rPr>
          <w:rFonts w:ascii="Arial" w:hAnsi="Arial" w:cs="Arial"/>
          <w:color w:val="000000"/>
          <w:sz w:val="22"/>
          <w:szCs w:val="22"/>
        </w:rPr>
      </w:pPr>
      <w:r w:rsidRPr="00DD53E3">
        <w:rPr>
          <w:rFonts w:ascii="Arial" w:hAnsi="Arial" w:cs="Arial"/>
          <w:color w:val="000000"/>
          <w:sz w:val="22"/>
          <w:szCs w:val="22"/>
        </w:rPr>
        <w:t>Identifying sustainable and self-directed professional learning opportunities for teachers across contexts and career lifespans.</w:t>
      </w:r>
    </w:p>
    <w:p w14:paraId="26031C16" w14:textId="3D2F81CE" w:rsidR="00DD53E3" w:rsidRPr="00DD53E3" w:rsidRDefault="00DD53E3" w:rsidP="00720CF3">
      <w:pPr>
        <w:pStyle w:val="NormalWeb"/>
        <w:numPr>
          <w:ilvl w:val="0"/>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P</w:t>
      </w:r>
      <w:r w:rsidR="00804ACC" w:rsidRPr="00DD53E3">
        <w:rPr>
          <w:rFonts w:ascii="Arial" w:hAnsi="Arial" w:cs="Arial"/>
          <w:sz w:val="22"/>
          <w:szCs w:val="22"/>
        </w:rPr>
        <w:t>aint</w:t>
      </w:r>
      <w:r w:rsidRPr="00DD53E3">
        <w:rPr>
          <w:rFonts w:ascii="Arial" w:hAnsi="Arial" w:cs="Arial"/>
          <w:sz w:val="22"/>
          <w:szCs w:val="22"/>
        </w:rPr>
        <w:t>ing</w:t>
      </w:r>
      <w:r w:rsidR="00804ACC" w:rsidRPr="00DD53E3">
        <w:rPr>
          <w:rFonts w:ascii="Arial" w:hAnsi="Arial" w:cs="Arial"/>
          <w:sz w:val="22"/>
          <w:szCs w:val="22"/>
        </w:rPr>
        <w:t xml:space="preserve"> a picture of practice, policy, </w:t>
      </w:r>
      <w:r w:rsidR="00682872" w:rsidRPr="00DD53E3">
        <w:rPr>
          <w:rFonts w:ascii="Arial" w:hAnsi="Arial" w:cs="Arial"/>
          <w:sz w:val="22"/>
          <w:szCs w:val="22"/>
        </w:rPr>
        <w:t xml:space="preserve">and </w:t>
      </w:r>
      <w:r w:rsidR="00804ACC" w:rsidRPr="00DD53E3">
        <w:rPr>
          <w:rFonts w:ascii="Arial" w:hAnsi="Arial" w:cs="Arial"/>
          <w:sz w:val="22"/>
          <w:szCs w:val="22"/>
        </w:rPr>
        <w:t xml:space="preserve">processes </w:t>
      </w:r>
      <w:r w:rsidR="00682872" w:rsidRPr="00DD53E3">
        <w:rPr>
          <w:rFonts w:ascii="Arial" w:hAnsi="Arial" w:cs="Arial"/>
          <w:sz w:val="22"/>
          <w:szCs w:val="22"/>
        </w:rPr>
        <w:t xml:space="preserve">related to one or more of the </w:t>
      </w:r>
      <w:r w:rsidRPr="00DD53E3">
        <w:rPr>
          <w:rFonts w:ascii="Arial" w:hAnsi="Arial" w:cs="Arial"/>
          <w:sz w:val="22"/>
          <w:szCs w:val="22"/>
        </w:rPr>
        <w:t>Virginia</w:t>
      </w:r>
      <w:r w:rsidR="00682872" w:rsidRPr="00DD53E3">
        <w:rPr>
          <w:rFonts w:ascii="Arial" w:hAnsi="Arial" w:cs="Arial"/>
          <w:sz w:val="22"/>
          <w:szCs w:val="22"/>
        </w:rPr>
        <w:t xml:space="preserve"> Profiles</w:t>
      </w:r>
      <w:r w:rsidRPr="00DD53E3">
        <w:rPr>
          <w:rFonts w:ascii="Arial" w:hAnsi="Arial" w:cs="Arial"/>
          <w:sz w:val="22"/>
          <w:szCs w:val="22"/>
        </w:rPr>
        <w:t>, telling</w:t>
      </w:r>
      <w:r w:rsidR="00804ACC" w:rsidRPr="00DD53E3">
        <w:rPr>
          <w:rFonts w:ascii="Arial" w:hAnsi="Arial" w:cs="Arial"/>
          <w:sz w:val="22"/>
          <w:szCs w:val="22"/>
        </w:rPr>
        <w:t xml:space="preserve"> the story of what you </w:t>
      </w:r>
      <w:proofErr w:type="gramStart"/>
      <w:r w:rsidR="00804ACC" w:rsidRPr="00DD53E3">
        <w:rPr>
          <w:rFonts w:ascii="Arial" w:hAnsi="Arial" w:cs="Arial"/>
          <w:sz w:val="22"/>
          <w:szCs w:val="22"/>
        </w:rPr>
        <w:t>had/have to</w:t>
      </w:r>
      <w:proofErr w:type="gramEnd"/>
      <w:r w:rsidR="00804ACC" w:rsidRPr="00DD53E3">
        <w:rPr>
          <w:rFonts w:ascii="Arial" w:hAnsi="Arial" w:cs="Arial"/>
          <w:sz w:val="22"/>
          <w:szCs w:val="22"/>
        </w:rPr>
        <w:t xml:space="preserve"> do to make </w:t>
      </w:r>
      <w:r w:rsidR="005F637E" w:rsidRPr="00DD53E3">
        <w:rPr>
          <w:rFonts w:ascii="Arial" w:hAnsi="Arial" w:cs="Arial"/>
          <w:sz w:val="22"/>
          <w:szCs w:val="22"/>
        </w:rPr>
        <w:t>change</w:t>
      </w:r>
      <w:r w:rsidR="00804ACC" w:rsidRPr="00DD53E3">
        <w:rPr>
          <w:rFonts w:ascii="Arial" w:hAnsi="Arial" w:cs="Arial"/>
          <w:sz w:val="22"/>
          <w:szCs w:val="22"/>
        </w:rPr>
        <w:t xml:space="preserve"> happen</w:t>
      </w:r>
      <w:r>
        <w:rPr>
          <w:rFonts w:ascii="Arial" w:hAnsi="Arial" w:cs="Arial"/>
          <w:sz w:val="22"/>
          <w:szCs w:val="22"/>
        </w:rPr>
        <w:t>:</w:t>
      </w:r>
    </w:p>
    <w:p w14:paraId="3A7048C8" w14:textId="5F990A07" w:rsidR="00DD53E3" w:rsidRPr="00DD53E3" w:rsidRDefault="00F23663" w:rsidP="00720CF3">
      <w:pPr>
        <w:pStyle w:val="NormalWeb"/>
        <w:numPr>
          <w:ilvl w:val="1"/>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 xml:space="preserve">What are the conditions that </w:t>
      </w:r>
      <w:r w:rsidR="005F637E" w:rsidRPr="00DD53E3">
        <w:rPr>
          <w:rFonts w:ascii="Arial" w:hAnsi="Arial" w:cs="Arial"/>
          <w:sz w:val="22"/>
          <w:szCs w:val="22"/>
        </w:rPr>
        <w:t>needed/</w:t>
      </w:r>
      <w:r w:rsidRPr="00DD53E3">
        <w:rPr>
          <w:rFonts w:ascii="Arial" w:hAnsi="Arial" w:cs="Arial"/>
          <w:sz w:val="22"/>
          <w:szCs w:val="22"/>
        </w:rPr>
        <w:t xml:space="preserve">need to be actualized? </w:t>
      </w:r>
    </w:p>
    <w:p w14:paraId="0CE871B7" w14:textId="0D229BCB" w:rsidR="00DD53E3" w:rsidRPr="00DD53E3" w:rsidRDefault="00F23663" w:rsidP="00720CF3">
      <w:pPr>
        <w:pStyle w:val="NormalWeb"/>
        <w:numPr>
          <w:ilvl w:val="1"/>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 xml:space="preserve">What </w:t>
      </w:r>
      <w:r w:rsidR="005F637E" w:rsidRPr="00DD53E3">
        <w:rPr>
          <w:rFonts w:ascii="Arial" w:hAnsi="Arial" w:cs="Arial"/>
          <w:sz w:val="22"/>
          <w:szCs w:val="22"/>
        </w:rPr>
        <w:t>were/</w:t>
      </w:r>
      <w:r w:rsidRPr="00DD53E3">
        <w:rPr>
          <w:rFonts w:ascii="Arial" w:hAnsi="Arial" w:cs="Arial"/>
          <w:sz w:val="22"/>
          <w:szCs w:val="22"/>
        </w:rPr>
        <w:t>are the capacities?</w:t>
      </w:r>
      <w:r w:rsidR="00BE0B8A" w:rsidRPr="00DD53E3">
        <w:rPr>
          <w:rFonts w:ascii="Arial" w:hAnsi="Arial" w:cs="Arial"/>
          <w:sz w:val="22"/>
          <w:szCs w:val="22"/>
        </w:rPr>
        <w:t xml:space="preserve"> </w:t>
      </w:r>
    </w:p>
    <w:p w14:paraId="721A0F1B" w14:textId="03BF67C8" w:rsidR="00DD53E3" w:rsidRPr="00DD53E3" w:rsidRDefault="00BE0B8A" w:rsidP="00720CF3">
      <w:pPr>
        <w:pStyle w:val="NormalWeb"/>
        <w:numPr>
          <w:ilvl w:val="1"/>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How w</w:t>
      </w:r>
      <w:r w:rsidR="00B24224" w:rsidRPr="00DD53E3">
        <w:rPr>
          <w:rFonts w:ascii="Arial" w:hAnsi="Arial" w:cs="Arial"/>
          <w:sz w:val="22"/>
          <w:szCs w:val="22"/>
        </w:rPr>
        <w:t>as I</w:t>
      </w:r>
      <w:r w:rsidRPr="00DD53E3">
        <w:rPr>
          <w:rFonts w:ascii="Arial" w:hAnsi="Arial" w:cs="Arial"/>
          <w:sz w:val="22"/>
          <w:szCs w:val="22"/>
        </w:rPr>
        <w:t xml:space="preserve"> prepared or not prepared</w:t>
      </w:r>
      <w:r w:rsidR="00B24224" w:rsidRPr="00DD53E3">
        <w:rPr>
          <w:rFonts w:ascii="Arial" w:hAnsi="Arial" w:cs="Arial"/>
          <w:sz w:val="22"/>
          <w:szCs w:val="22"/>
        </w:rPr>
        <w:t xml:space="preserve">? </w:t>
      </w:r>
    </w:p>
    <w:p w14:paraId="0393906C" w14:textId="77F12590" w:rsidR="00DD53E3" w:rsidRPr="00DD53E3" w:rsidRDefault="00B24224" w:rsidP="00720CF3">
      <w:pPr>
        <w:pStyle w:val="NormalWeb"/>
        <w:numPr>
          <w:ilvl w:val="1"/>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What did I</w:t>
      </w:r>
      <w:r w:rsidR="00804ACC" w:rsidRPr="00DD53E3">
        <w:rPr>
          <w:rFonts w:ascii="Arial" w:hAnsi="Arial" w:cs="Arial"/>
          <w:sz w:val="22"/>
          <w:szCs w:val="22"/>
        </w:rPr>
        <w:t>/do I</w:t>
      </w:r>
      <w:r w:rsidRPr="00DD53E3">
        <w:rPr>
          <w:rFonts w:ascii="Arial" w:hAnsi="Arial" w:cs="Arial"/>
          <w:sz w:val="22"/>
          <w:szCs w:val="22"/>
        </w:rPr>
        <w:t xml:space="preserve"> have to change?</w:t>
      </w:r>
    </w:p>
    <w:p w14:paraId="50B8152A" w14:textId="3118DB77" w:rsidR="00AD4D49" w:rsidRPr="00DD53E3" w:rsidRDefault="00764376" w:rsidP="00720CF3">
      <w:pPr>
        <w:pStyle w:val="NormalWeb"/>
        <w:numPr>
          <w:ilvl w:val="1"/>
          <w:numId w:val="18"/>
        </w:numPr>
        <w:spacing w:before="0" w:beforeAutospacing="0" w:after="0" w:afterAutospacing="0"/>
        <w:textAlignment w:val="baseline"/>
        <w:rPr>
          <w:rFonts w:ascii="Arial" w:hAnsi="Arial" w:cs="Arial"/>
          <w:sz w:val="22"/>
          <w:szCs w:val="22"/>
        </w:rPr>
      </w:pPr>
      <w:r w:rsidRPr="00DD53E3">
        <w:rPr>
          <w:rFonts w:ascii="Arial" w:hAnsi="Arial" w:cs="Arial"/>
          <w:sz w:val="22"/>
          <w:szCs w:val="22"/>
        </w:rPr>
        <w:t>What is the p</w:t>
      </w:r>
      <w:r w:rsidR="00B24224" w:rsidRPr="00DD53E3">
        <w:rPr>
          <w:rFonts w:ascii="Arial" w:hAnsi="Arial" w:cs="Arial"/>
          <w:sz w:val="22"/>
          <w:szCs w:val="22"/>
        </w:rPr>
        <w:t>romise</w:t>
      </w:r>
      <w:r w:rsidRPr="00DD53E3">
        <w:rPr>
          <w:rFonts w:ascii="Arial" w:hAnsi="Arial" w:cs="Arial"/>
          <w:sz w:val="22"/>
          <w:szCs w:val="22"/>
        </w:rPr>
        <w:t>? What is the</w:t>
      </w:r>
      <w:r w:rsidR="00B24224" w:rsidRPr="00DD53E3">
        <w:rPr>
          <w:rFonts w:ascii="Arial" w:hAnsi="Arial" w:cs="Arial"/>
          <w:sz w:val="22"/>
          <w:szCs w:val="22"/>
        </w:rPr>
        <w:t xml:space="preserve"> peril</w:t>
      </w:r>
      <w:r w:rsidRPr="00DD53E3">
        <w:rPr>
          <w:rFonts w:ascii="Arial" w:hAnsi="Arial" w:cs="Arial"/>
          <w:sz w:val="22"/>
          <w:szCs w:val="22"/>
        </w:rPr>
        <w:t>?</w:t>
      </w:r>
      <w:r w:rsidR="00B24224" w:rsidRPr="00DD53E3">
        <w:rPr>
          <w:rFonts w:ascii="Arial" w:hAnsi="Arial" w:cs="Arial"/>
          <w:sz w:val="22"/>
          <w:szCs w:val="22"/>
        </w:rPr>
        <w:t xml:space="preserve"> – </w:t>
      </w:r>
      <w:r w:rsidR="00D353E8">
        <w:rPr>
          <w:rFonts w:ascii="Arial" w:hAnsi="Arial" w:cs="Arial"/>
          <w:sz w:val="22"/>
          <w:szCs w:val="22"/>
        </w:rPr>
        <w:t xml:space="preserve">e.g., </w:t>
      </w:r>
      <w:r w:rsidR="00B24224" w:rsidRPr="00DD53E3">
        <w:rPr>
          <w:rFonts w:ascii="Arial" w:hAnsi="Arial" w:cs="Arial"/>
          <w:sz w:val="22"/>
          <w:szCs w:val="22"/>
        </w:rPr>
        <w:t>teacher shortage, etc.</w:t>
      </w:r>
    </w:p>
    <w:p w14:paraId="04565894" w14:textId="77777777" w:rsidR="00F23663" w:rsidRPr="000C434E" w:rsidRDefault="00F23663" w:rsidP="00DD53E3">
      <w:pPr>
        <w:pBdr>
          <w:top w:val="nil"/>
          <w:left w:val="nil"/>
          <w:bottom w:val="nil"/>
          <w:right w:val="nil"/>
          <w:between w:val="nil"/>
        </w:pBdr>
        <w:rPr>
          <w:rFonts w:ascii="Arial" w:hAnsi="Arial" w:cs="Arial"/>
          <w:color w:val="000000"/>
          <w:sz w:val="16"/>
          <w:szCs w:val="16"/>
        </w:rPr>
      </w:pPr>
    </w:p>
    <w:p w14:paraId="35198481" w14:textId="38C8AD21" w:rsidR="00451CD8" w:rsidRPr="000C434E" w:rsidRDefault="00451CD8">
      <w:pPr>
        <w:rPr>
          <w:rFonts w:ascii="Arial" w:hAnsi="Arial" w:cs="Arial"/>
          <w:b/>
          <w:sz w:val="22"/>
          <w:szCs w:val="22"/>
        </w:rPr>
      </w:pPr>
      <w:r w:rsidRPr="000C434E">
        <w:rPr>
          <w:rFonts w:ascii="Arial" w:hAnsi="Arial" w:cs="Arial"/>
          <w:bCs/>
          <w:sz w:val="22"/>
          <w:szCs w:val="22"/>
        </w:rPr>
        <w:t xml:space="preserve">It is anticipated that this special issue will include 12-14 </w:t>
      </w:r>
      <w:r w:rsidR="000F35B4" w:rsidRPr="000C434E">
        <w:rPr>
          <w:rFonts w:ascii="Arial" w:hAnsi="Arial" w:cs="Arial"/>
          <w:bCs/>
          <w:sz w:val="22"/>
          <w:szCs w:val="22"/>
        </w:rPr>
        <w:t>published article</w:t>
      </w:r>
      <w:r w:rsidR="00D66610">
        <w:rPr>
          <w:rFonts w:ascii="Arial" w:hAnsi="Arial" w:cs="Arial"/>
          <w:bCs/>
          <w:sz w:val="22"/>
          <w:szCs w:val="22"/>
        </w:rPr>
        <w:t>s</w:t>
      </w:r>
      <w:r w:rsidRPr="000C434E">
        <w:rPr>
          <w:rFonts w:ascii="Arial" w:hAnsi="Arial" w:cs="Arial"/>
          <w:bCs/>
          <w:sz w:val="22"/>
          <w:szCs w:val="22"/>
        </w:rPr>
        <w:t xml:space="preserve">, divided evenly between the two sections, with manuscripts from invited authors comprising </w:t>
      </w:r>
      <w:r w:rsidR="000F35B4" w:rsidRPr="000C434E">
        <w:rPr>
          <w:rFonts w:ascii="Arial" w:hAnsi="Arial" w:cs="Arial"/>
          <w:bCs/>
          <w:sz w:val="22"/>
          <w:szCs w:val="22"/>
        </w:rPr>
        <w:t>approximating 8-10 of the total number of articles.</w:t>
      </w:r>
      <w:r w:rsidRPr="000C434E">
        <w:rPr>
          <w:rFonts w:ascii="Arial" w:hAnsi="Arial" w:cs="Arial"/>
          <w:b/>
          <w:sz w:val="22"/>
          <w:szCs w:val="22"/>
        </w:rPr>
        <w:br w:type="page"/>
      </w:r>
    </w:p>
    <w:p w14:paraId="3BBD1BE9" w14:textId="46E40826" w:rsidR="00DE7793" w:rsidRPr="00451CD8" w:rsidRDefault="00DE7793" w:rsidP="00DD53E3">
      <w:pPr>
        <w:rPr>
          <w:rFonts w:ascii="Arial" w:hAnsi="Arial" w:cs="Arial"/>
          <w:b/>
          <w:sz w:val="22"/>
          <w:szCs w:val="22"/>
          <w:u w:val="single"/>
        </w:rPr>
      </w:pPr>
      <w:r w:rsidRPr="00451CD8">
        <w:rPr>
          <w:rFonts w:ascii="Arial" w:hAnsi="Arial" w:cs="Arial"/>
          <w:b/>
          <w:sz w:val="22"/>
          <w:szCs w:val="22"/>
          <w:u w:val="single"/>
        </w:rPr>
        <w:lastRenderedPageBreak/>
        <w:t>General Information</w:t>
      </w:r>
    </w:p>
    <w:p w14:paraId="77F85660" w14:textId="0AABBDB3" w:rsidR="00DE7793" w:rsidRPr="008E4D0D" w:rsidRDefault="00DE7793" w:rsidP="00451CD8">
      <w:pPr>
        <w:rPr>
          <w:rFonts w:ascii="Arial" w:hAnsi="Arial" w:cs="Arial"/>
          <w:sz w:val="22"/>
          <w:szCs w:val="22"/>
        </w:rPr>
      </w:pPr>
      <w:r w:rsidRPr="008E4D0D">
        <w:rPr>
          <w:rFonts w:ascii="Arial" w:hAnsi="Arial" w:cs="Arial"/>
          <w:i/>
          <w:sz w:val="22"/>
          <w:szCs w:val="22"/>
        </w:rPr>
        <w:t xml:space="preserve">The Teacher Educators’ Journal </w:t>
      </w:r>
      <w:r w:rsidRPr="008E4D0D">
        <w:rPr>
          <w:rFonts w:ascii="Arial" w:hAnsi="Arial" w:cs="Arial"/>
          <w:sz w:val="22"/>
          <w:szCs w:val="22"/>
        </w:rPr>
        <w:t>is a peer-reviewed journal that publishes articles focused on issues related to teacher education.</w:t>
      </w:r>
      <w:r w:rsidR="00D353E8">
        <w:rPr>
          <w:rFonts w:ascii="Arial" w:hAnsi="Arial" w:cs="Arial"/>
          <w:sz w:val="22"/>
          <w:szCs w:val="22"/>
        </w:rPr>
        <w:t xml:space="preserve"> </w:t>
      </w:r>
      <w:r w:rsidRPr="008E4D0D">
        <w:rPr>
          <w:rFonts w:ascii="Arial" w:hAnsi="Arial" w:cs="Arial"/>
          <w:sz w:val="22"/>
          <w:szCs w:val="22"/>
        </w:rPr>
        <w:t xml:space="preserve">The regular issue of </w:t>
      </w:r>
      <w:r w:rsidRPr="008E4D0D">
        <w:rPr>
          <w:rFonts w:ascii="Arial" w:hAnsi="Arial" w:cs="Arial"/>
          <w:i/>
          <w:sz w:val="22"/>
          <w:szCs w:val="22"/>
        </w:rPr>
        <w:t xml:space="preserve">The Teacher Educators’ Journal </w:t>
      </w:r>
      <w:r w:rsidRPr="008E4D0D">
        <w:rPr>
          <w:rFonts w:ascii="Arial" w:hAnsi="Arial" w:cs="Arial"/>
          <w:sz w:val="22"/>
          <w:szCs w:val="22"/>
        </w:rPr>
        <w:t>is published digitally in the spring of each year; the special issue is published digitally in the summer</w:t>
      </w:r>
      <w:r w:rsidR="00CD7F71" w:rsidRPr="008E4D0D">
        <w:rPr>
          <w:rFonts w:ascii="Arial" w:hAnsi="Arial" w:cs="Arial"/>
          <w:sz w:val="22"/>
          <w:szCs w:val="22"/>
        </w:rPr>
        <w:t>/fall</w:t>
      </w:r>
      <w:r w:rsidRPr="008E4D0D">
        <w:rPr>
          <w:rFonts w:ascii="Arial" w:hAnsi="Arial" w:cs="Arial"/>
          <w:sz w:val="22"/>
          <w:szCs w:val="22"/>
        </w:rPr>
        <w:t xml:space="preserve"> of each year.</w:t>
      </w:r>
      <w:r w:rsidR="00D353E8">
        <w:rPr>
          <w:rFonts w:ascii="Arial" w:hAnsi="Arial" w:cs="Arial"/>
          <w:sz w:val="22"/>
          <w:szCs w:val="22"/>
        </w:rPr>
        <w:t xml:space="preserve"> </w:t>
      </w:r>
      <w:r w:rsidRPr="008E4D0D">
        <w:rPr>
          <w:rFonts w:ascii="Arial" w:hAnsi="Arial" w:cs="Arial"/>
          <w:sz w:val="22"/>
          <w:szCs w:val="22"/>
        </w:rPr>
        <w:t>Opinions and points of view expressed by authors do not represent those of VACTE or the journal’s editors.</w:t>
      </w:r>
      <w:r w:rsidR="00D353E8">
        <w:rPr>
          <w:rFonts w:ascii="Arial" w:hAnsi="Arial" w:cs="Arial"/>
          <w:sz w:val="22"/>
          <w:szCs w:val="22"/>
        </w:rPr>
        <w:t xml:space="preserve"> </w:t>
      </w:r>
      <w:r w:rsidRPr="008E4D0D">
        <w:rPr>
          <w:rFonts w:ascii="Arial" w:hAnsi="Arial" w:cs="Arial"/>
          <w:sz w:val="22"/>
          <w:szCs w:val="22"/>
        </w:rPr>
        <w:t>Authors are responsible for the accuracy of the information within manuscripts.</w:t>
      </w:r>
      <w:r w:rsidR="00D353E8">
        <w:rPr>
          <w:rFonts w:ascii="Arial" w:hAnsi="Arial" w:cs="Arial"/>
          <w:sz w:val="22"/>
          <w:szCs w:val="22"/>
        </w:rPr>
        <w:t xml:space="preserve"> </w:t>
      </w:r>
      <w:r w:rsidRPr="008E4D0D">
        <w:rPr>
          <w:rFonts w:ascii="Arial" w:hAnsi="Arial" w:cs="Arial"/>
          <w:sz w:val="22"/>
          <w:szCs w:val="22"/>
        </w:rPr>
        <w:t>Published manuscripts become the property of VACTE.</w:t>
      </w:r>
    </w:p>
    <w:p w14:paraId="7790BA4E" w14:textId="77777777" w:rsidR="0093433F" w:rsidRPr="00451CD8" w:rsidRDefault="0093433F">
      <w:pPr>
        <w:rPr>
          <w:rFonts w:ascii="Arial" w:hAnsi="Arial" w:cs="Arial"/>
          <w:sz w:val="16"/>
          <w:szCs w:val="16"/>
        </w:rPr>
      </w:pPr>
    </w:p>
    <w:p w14:paraId="639E9790" w14:textId="77777777" w:rsidR="00DE7793" w:rsidRPr="00451CD8" w:rsidRDefault="00DE7793" w:rsidP="00DE7793">
      <w:pPr>
        <w:shd w:val="clear" w:color="auto" w:fill="FFFFFF"/>
        <w:rPr>
          <w:rFonts w:ascii="Arial" w:hAnsi="Arial" w:cs="Arial"/>
          <w:b/>
          <w:sz w:val="22"/>
          <w:szCs w:val="22"/>
          <w:u w:val="single"/>
        </w:rPr>
      </w:pPr>
      <w:r w:rsidRPr="00451CD8">
        <w:rPr>
          <w:rFonts w:ascii="Arial" w:hAnsi="Arial" w:cs="Arial"/>
          <w:b/>
          <w:sz w:val="22"/>
          <w:szCs w:val="22"/>
          <w:u w:val="single"/>
        </w:rPr>
        <w:t>Manuscript Considerations</w:t>
      </w:r>
    </w:p>
    <w:p w14:paraId="56295AAF" w14:textId="77777777" w:rsidR="00DE7793" w:rsidRPr="008E4D0D" w:rsidRDefault="00DE7793" w:rsidP="00DE7793">
      <w:pPr>
        <w:shd w:val="clear" w:color="auto" w:fill="FFFFFF"/>
        <w:rPr>
          <w:rFonts w:ascii="Arial" w:hAnsi="Arial" w:cs="Arial"/>
          <w:sz w:val="22"/>
          <w:szCs w:val="22"/>
        </w:rPr>
      </w:pPr>
      <w:r w:rsidRPr="008E4D0D">
        <w:rPr>
          <w:rFonts w:ascii="Arial" w:hAnsi="Arial" w:cs="Arial"/>
          <w:sz w:val="22"/>
          <w:szCs w:val="22"/>
        </w:rPr>
        <w:t xml:space="preserve">Authors are encouraged to submit manuscripts that meet any or </w:t>
      </w:r>
      <w:proofErr w:type="gramStart"/>
      <w:r w:rsidRPr="008E4D0D">
        <w:rPr>
          <w:rFonts w:ascii="Arial" w:hAnsi="Arial" w:cs="Arial"/>
          <w:sz w:val="22"/>
          <w:szCs w:val="22"/>
        </w:rPr>
        <w:t>all of</w:t>
      </w:r>
      <w:proofErr w:type="gramEnd"/>
      <w:r w:rsidRPr="008E4D0D">
        <w:rPr>
          <w:rFonts w:ascii="Arial" w:hAnsi="Arial" w:cs="Arial"/>
          <w:sz w:val="22"/>
          <w:szCs w:val="22"/>
        </w:rPr>
        <w:t xml:space="preserve"> the following criteria:</w:t>
      </w:r>
    </w:p>
    <w:p w14:paraId="0B88D095" w14:textId="44B20899" w:rsidR="00DE7793" w:rsidRPr="008E4D0D" w:rsidRDefault="00DE7793" w:rsidP="00DE7793">
      <w:pPr>
        <w:numPr>
          <w:ilvl w:val="0"/>
          <w:numId w:val="13"/>
        </w:numPr>
        <w:rPr>
          <w:rFonts w:ascii="Arial" w:hAnsi="Arial" w:cs="Arial"/>
          <w:sz w:val="22"/>
          <w:szCs w:val="22"/>
        </w:rPr>
      </w:pPr>
      <w:r w:rsidRPr="008E4D0D">
        <w:rPr>
          <w:rFonts w:ascii="Arial" w:hAnsi="Arial" w:cs="Arial"/>
          <w:sz w:val="22"/>
          <w:szCs w:val="22"/>
        </w:rPr>
        <w:t>Positionality</w:t>
      </w:r>
      <w:r w:rsidR="00D353E8">
        <w:rPr>
          <w:rFonts w:ascii="Arial" w:hAnsi="Arial" w:cs="Arial"/>
          <w:sz w:val="22"/>
          <w:szCs w:val="22"/>
        </w:rPr>
        <w:t>/</w:t>
      </w:r>
      <w:r w:rsidRPr="008E4D0D">
        <w:rPr>
          <w:rFonts w:ascii="Arial" w:hAnsi="Arial" w:cs="Arial"/>
          <w:sz w:val="22"/>
          <w:szCs w:val="22"/>
        </w:rPr>
        <w:t xml:space="preserve">perspective of author(s) represent diversity of PK-12 student population in </w:t>
      </w:r>
      <w:r w:rsidR="00D353E8">
        <w:rPr>
          <w:rFonts w:ascii="Arial" w:hAnsi="Arial" w:cs="Arial"/>
          <w:sz w:val="22"/>
          <w:szCs w:val="22"/>
        </w:rPr>
        <w:t xml:space="preserve">the </w:t>
      </w:r>
      <w:r w:rsidR="007E5DC7">
        <w:rPr>
          <w:rFonts w:ascii="Arial" w:hAnsi="Arial" w:cs="Arial"/>
          <w:sz w:val="22"/>
          <w:szCs w:val="22"/>
        </w:rPr>
        <w:t>USA</w:t>
      </w:r>
    </w:p>
    <w:p w14:paraId="1AB691EA" w14:textId="7D00B69C" w:rsidR="00DE7793" w:rsidRPr="008E4D0D" w:rsidRDefault="00DE7793" w:rsidP="00DE7793">
      <w:pPr>
        <w:numPr>
          <w:ilvl w:val="0"/>
          <w:numId w:val="13"/>
        </w:numPr>
        <w:rPr>
          <w:rFonts w:ascii="Arial" w:hAnsi="Arial" w:cs="Arial"/>
          <w:sz w:val="22"/>
          <w:szCs w:val="22"/>
        </w:rPr>
      </w:pPr>
      <w:r w:rsidRPr="008E4D0D">
        <w:rPr>
          <w:rFonts w:ascii="Arial" w:hAnsi="Arial" w:cs="Arial"/>
          <w:sz w:val="22"/>
          <w:szCs w:val="22"/>
        </w:rPr>
        <w:t>Research methodology is innovative and/or includes strategies underrepresented in education studies</w:t>
      </w:r>
    </w:p>
    <w:p w14:paraId="690870CF" w14:textId="77777777" w:rsidR="00DE7793" w:rsidRPr="008E4D0D" w:rsidRDefault="00DE7793" w:rsidP="00DE7793">
      <w:pPr>
        <w:numPr>
          <w:ilvl w:val="0"/>
          <w:numId w:val="13"/>
        </w:numPr>
        <w:rPr>
          <w:rFonts w:ascii="Arial" w:hAnsi="Arial" w:cs="Arial"/>
          <w:sz w:val="22"/>
          <w:szCs w:val="22"/>
        </w:rPr>
      </w:pPr>
      <w:r w:rsidRPr="008E4D0D">
        <w:rPr>
          <w:rFonts w:ascii="Arial" w:hAnsi="Arial" w:cs="Arial"/>
          <w:sz w:val="22"/>
          <w:szCs w:val="22"/>
        </w:rPr>
        <w:t>Scholarship is conducted in, and/or authors represent, a range of US regions and states</w:t>
      </w:r>
    </w:p>
    <w:p w14:paraId="03DC94E3" w14:textId="77777777" w:rsidR="00DE7793" w:rsidRPr="008E4D0D" w:rsidRDefault="00DE7793" w:rsidP="00DE7793">
      <w:pPr>
        <w:numPr>
          <w:ilvl w:val="0"/>
          <w:numId w:val="13"/>
        </w:numPr>
        <w:rPr>
          <w:rFonts w:ascii="Arial" w:hAnsi="Arial" w:cs="Arial"/>
          <w:sz w:val="22"/>
          <w:szCs w:val="22"/>
        </w:rPr>
      </w:pPr>
      <w:r w:rsidRPr="008E4D0D">
        <w:rPr>
          <w:rFonts w:ascii="Arial" w:hAnsi="Arial" w:cs="Arial"/>
          <w:sz w:val="22"/>
          <w:szCs w:val="22"/>
        </w:rPr>
        <w:t>Authors represent a range of demographics, career stages, and subject expertise</w:t>
      </w:r>
    </w:p>
    <w:p w14:paraId="40487A38" w14:textId="77777777" w:rsidR="00DE7793" w:rsidRPr="008E4D0D" w:rsidRDefault="00DE7793" w:rsidP="00DE7793">
      <w:pPr>
        <w:numPr>
          <w:ilvl w:val="0"/>
          <w:numId w:val="13"/>
        </w:numPr>
        <w:rPr>
          <w:rFonts w:ascii="Arial" w:hAnsi="Arial" w:cs="Arial"/>
          <w:sz w:val="22"/>
          <w:szCs w:val="22"/>
        </w:rPr>
      </w:pPr>
      <w:r w:rsidRPr="008E4D0D">
        <w:rPr>
          <w:rFonts w:ascii="Arial" w:hAnsi="Arial" w:cs="Arial"/>
          <w:sz w:val="22"/>
          <w:szCs w:val="22"/>
        </w:rPr>
        <w:t>Study addresses an issue relevant to Virginia teacher education initiatives, national teacher education association priorities, and/or federal education policy issues</w:t>
      </w:r>
    </w:p>
    <w:p w14:paraId="5C4155C0" w14:textId="77777777" w:rsidR="0093433F" w:rsidRPr="00451CD8" w:rsidRDefault="0093433F">
      <w:pPr>
        <w:rPr>
          <w:rFonts w:ascii="Arial" w:hAnsi="Arial" w:cs="Arial"/>
          <w:b/>
          <w:sz w:val="16"/>
          <w:szCs w:val="16"/>
          <w:u w:val="single"/>
        </w:rPr>
      </w:pPr>
    </w:p>
    <w:p w14:paraId="2B4AA694" w14:textId="1F6A877E" w:rsidR="0066703E" w:rsidRDefault="00DE7793" w:rsidP="00451CD8">
      <w:pPr>
        <w:rPr>
          <w:rFonts w:ascii="Arial" w:hAnsi="Arial" w:cs="Arial"/>
          <w:sz w:val="22"/>
          <w:szCs w:val="22"/>
        </w:rPr>
      </w:pPr>
      <w:r w:rsidRPr="00451CD8">
        <w:rPr>
          <w:rFonts w:ascii="Arial" w:hAnsi="Arial" w:cs="Arial"/>
          <w:b/>
          <w:sz w:val="22"/>
          <w:szCs w:val="22"/>
          <w:u w:val="single"/>
        </w:rPr>
        <w:t>Submission Guidelines</w:t>
      </w:r>
    </w:p>
    <w:p w14:paraId="239BF670" w14:textId="54DCBA53" w:rsidR="00DE7793" w:rsidRPr="008E4D0D" w:rsidRDefault="0066703E"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be fully blinded to ensure a reliable review process.</w:t>
      </w:r>
    </w:p>
    <w:p w14:paraId="3149DA77" w14:textId="5791A75B" w:rsidR="00DE7793" w:rsidRPr="008E4D0D" w:rsidRDefault="0066703E"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 xml:space="preserve">anuscripts must meet </w:t>
      </w:r>
      <w:r>
        <w:rPr>
          <w:rFonts w:ascii="Arial" w:hAnsi="Arial" w:cs="Arial"/>
          <w:sz w:val="22"/>
          <w:szCs w:val="22"/>
        </w:rPr>
        <w:t>7</w:t>
      </w:r>
      <w:r w:rsidRPr="00451CD8">
        <w:rPr>
          <w:rFonts w:ascii="Arial" w:hAnsi="Arial" w:cs="Arial"/>
          <w:sz w:val="22"/>
          <w:szCs w:val="22"/>
          <w:vertAlign w:val="superscript"/>
        </w:rPr>
        <w:t>th</w:t>
      </w:r>
      <w:r>
        <w:rPr>
          <w:rFonts w:ascii="Arial" w:hAnsi="Arial" w:cs="Arial"/>
          <w:sz w:val="22"/>
          <w:szCs w:val="22"/>
        </w:rPr>
        <w:t xml:space="preserve"> edition </w:t>
      </w:r>
      <w:r w:rsidR="00DE7793" w:rsidRPr="008E4D0D">
        <w:rPr>
          <w:rFonts w:ascii="Arial" w:hAnsi="Arial" w:cs="Arial"/>
          <w:sz w:val="22"/>
          <w:szCs w:val="22"/>
        </w:rPr>
        <w:t>American Psychological Association Publication Manual</w:t>
      </w:r>
      <w:r>
        <w:rPr>
          <w:rFonts w:ascii="Arial" w:hAnsi="Arial" w:cs="Arial"/>
          <w:sz w:val="22"/>
          <w:szCs w:val="22"/>
        </w:rPr>
        <w:t xml:space="preserve"> guidelines.</w:t>
      </w:r>
    </w:p>
    <w:p w14:paraId="794ECE69" w14:textId="3D128DC9" w:rsidR="00DE7793" w:rsidRPr="008E4D0D" w:rsidRDefault="0066703E" w:rsidP="00DE7793">
      <w:pPr>
        <w:numPr>
          <w:ilvl w:val="0"/>
          <w:numId w:val="15"/>
        </w:numPr>
        <w:rPr>
          <w:rFonts w:ascii="Arial" w:hAnsi="Arial" w:cs="Arial"/>
          <w:sz w:val="22"/>
          <w:szCs w:val="22"/>
        </w:rPr>
      </w:pPr>
      <w:r>
        <w:rPr>
          <w:rFonts w:ascii="Arial" w:hAnsi="Arial" w:cs="Arial"/>
          <w:sz w:val="22"/>
          <w:szCs w:val="22"/>
        </w:rPr>
        <w:t>I</w:t>
      </w:r>
      <w:r w:rsidR="00DE7793" w:rsidRPr="008E4D0D">
        <w:rPr>
          <w:rFonts w:ascii="Arial" w:hAnsi="Arial" w:cs="Arial"/>
          <w:sz w:val="22"/>
          <w:szCs w:val="22"/>
        </w:rPr>
        <w:t xml:space="preserve">nclusive of references, tables, and figures, </w:t>
      </w:r>
      <w:r>
        <w:rPr>
          <w:rFonts w:ascii="Arial" w:hAnsi="Arial" w:cs="Arial"/>
          <w:sz w:val="22"/>
          <w:szCs w:val="22"/>
        </w:rPr>
        <w:t xml:space="preserve">manuscripts </w:t>
      </w:r>
      <w:r w:rsidR="00DE7793" w:rsidRPr="008E4D0D">
        <w:rPr>
          <w:rFonts w:ascii="Arial" w:hAnsi="Arial" w:cs="Arial"/>
          <w:sz w:val="22"/>
          <w:szCs w:val="22"/>
        </w:rPr>
        <w:t>should not exceed 5000 words</w:t>
      </w:r>
      <w:r>
        <w:rPr>
          <w:rFonts w:ascii="Arial" w:hAnsi="Arial" w:cs="Arial"/>
          <w:sz w:val="22"/>
          <w:szCs w:val="22"/>
        </w:rPr>
        <w:t>.</w:t>
      </w:r>
    </w:p>
    <w:p w14:paraId="5F518169" w14:textId="0BD63E86" w:rsidR="00DE7793" w:rsidRPr="008E4D0D" w:rsidRDefault="0066703E"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include a 150-word abstract and three (3) keywords.</w:t>
      </w:r>
    </w:p>
    <w:p w14:paraId="54DE8F4E" w14:textId="352960BD" w:rsidR="00DE7793" w:rsidRPr="008E4D0D" w:rsidRDefault="0066703E"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be submitted electronically in Microsoft Word format.</w:t>
      </w:r>
    </w:p>
    <w:p w14:paraId="792C8E55" w14:textId="543F80D5" w:rsidR="00DE7793" w:rsidRPr="008E4D0D" w:rsidRDefault="0066703E"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be double-spaced</w:t>
      </w:r>
      <w:r>
        <w:rPr>
          <w:rFonts w:ascii="Arial" w:hAnsi="Arial" w:cs="Arial"/>
          <w:sz w:val="22"/>
          <w:szCs w:val="22"/>
        </w:rPr>
        <w:t>, with 1</w:t>
      </w:r>
      <w:r w:rsidR="00DE7793" w:rsidRPr="008E4D0D">
        <w:rPr>
          <w:rFonts w:ascii="Arial" w:hAnsi="Arial" w:cs="Arial"/>
          <w:sz w:val="22"/>
          <w:szCs w:val="22"/>
        </w:rPr>
        <w:t xml:space="preserve">-inch margins and 12 </w:t>
      </w:r>
      <w:proofErr w:type="spellStart"/>
      <w:r w:rsidR="00DE7793" w:rsidRPr="008E4D0D">
        <w:rPr>
          <w:rFonts w:ascii="Arial" w:hAnsi="Arial" w:cs="Arial"/>
          <w:sz w:val="22"/>
          <w:szCs w:val="22"/>
        </w:rPr>
        <w:t>pt</w:t>
      </w:r>
      <w:proofErr w:type="spellEnd"/>
      <w:r w:rsidR="00DE7793" w:rsidRPr="008E4D0D">
        <w:rPr>
          <w:rFonts w:ascii="Arial" w:hAnsi="Arial" w:cs="Arial"/>
          <w:sz w:val="22"/>
          <w:szCs w:val="22"/>
        </w:rPr>
        <w:t xml:space="preserve"> Times New Roman font.</w:t>
      </w:r>
    </w:p>
    <w:p w14:paraId="3D5D3B68" w14:textId="68D25DD0" w:rsidR="00DE7793" w:rsidRPr="008E4D0D" w:rsidRDefault="007E5DC7"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should include standard sections (e.g., introduction, literature review, methodology, findings, discussion)</w:t>
      </w:r>
      <w:r w:rsidR="00D353E8">
        <w:rPr>
          <w:rFonts w:ascii="Arial" w:hAnsi="Arial" w:cs="Arial"/>
          <w:sz w:val="22"/>
          <w:szCs w:val="22"/>
        </w:rPr>
        <w:t xml:space="preserve">; </w:t>
      </w:r>
      <w:r w:rsidR="00DE7793" w:rsidRPr="008E4D0D">
        <w:rPr>
          <w:rFonts w:ascii="Arial" w:hAnsi="Arial" w:cs="Arial"/>
          <w:sz w:val="22"/>
          <w:szCs w:val="22"/>
        </w:rPr>
        <w:t>alternative manuscript formats will be considered.</w:t>
      </w:r>
    </w:p>
    <w:p w14:paraId="3CBCC73E" w14:textId="6965E1E1" w:rsidR="00DE7793" w:rsidRPr="008E4D0D" w:rsidRDefault="007E5DC7"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make clear the implications of the study and/or theoretical/conceptual analysis for antiracist and social justice principles, practices, and policies.</w:t>
      </w:r>
    </w:p>
    <w:p w14:paraId="313473C9" w14:textId="04977578" w:rsidR="00DE7793" w:rsidRPr="008E4D0D" w:rsidRDefault="007E5DC7" w:rsidP="00DE7793">
      <w:pPr>
        <w:numPr>
          <w:ilvl w:val="0"/>
          <w:numId w:val="15"/>
        </w:numPr>
        <w:rPr>
          <w:rFonts w:ascii="Arial" w:hAnsi="Arial" w:cs="Arial"/>
          <w:sz w:val="22"/>
          <w:szCs w:val="22"/>
        </w:rPr>
      </w:pPr>
      <w:r>
        <w:rPr>
          <w:rFonts w:ascii="Arial" w:hAnsi="Arial" w:cs="Arial"/>
          <w:sz w:val="22"/>
          <w:szCs w:val="22"/>
        </w:rPr>
        <w:t>M</w:t>
      </w:r>
      <w:r w:rsidR="00DE7793" w:rsidRPr="008E4D0D">
        <w:rPr>
          <w:rFonts w:ascii="Arial" w:hAnsi="Arial" w:cs="Arial"/>
          <w:sz w:val="22"/>
          <w:szCs w:val="22"/>
        </w:rPr>
        <w:t>anuscripts must include a separate cover page with the following information:</w:t>
      </w:r>
    </w:p>
    <w:p w14:paraId="444AACD4" w14:textId="77777777" w:rsidR="00DE7793" w:rsidRPr="008E4D0D" w:rsidRDefault="00DE7793" w:rsidP="00DE7793">
      <w:pPr>
        <w:numPr>
          <w:ilvl w:val="1"/>
          <w:numId w:val="15"/>
        </w:numPr>
        <w:rPr>
          <w:rFonts w:ascii="Arial" w:hAnsi="Arial" w:cs="Arial"/>
          <w:sz w:val="22"/>
          <w:szCs w:val="22"/>
        </w:rPr>
      </w:pPr>
      <w:r w:rsidRPr="008E4D0D">
        <w:rPr>
          <w:rFonts w:ascii="Arial" w:hAnsi="Arial" w:cs="Arial"/>
          <w:sz w:val="22"/>
          <w:szCs w:val="22"/>
        </w:rPr>
        <w:t>Title of the manuscript</w:t>
      </w:r>
    </w:p>
    <w:p w14:paraId="7FD50D70" w14:textId="77777777" w:rsidR="00DE7793" w:rsidRPr="008E4D0D" w:rsidRDefault="00DE7793" w:rsidP="00DE7793">
      <w:pPr>
        <w:numPr>
          <w:ilvl w:val="1"/>
          <w:numId w:val="15"/>
        </w:numPr>
        <w:rPr>
          <w:rFonts w:ascii="Arial" w:hAnsi="Arial" w:cs="Arial"/>
          <w:sz w:val="22"/>
          <w:szCs w:val="22"/>
        </w:rPr>
      </w:pPr>
      <w:r w:rsidRPr="008E4D0D">
        <w:rPr>
          <w:rFonts w:ascii="Arial" w:hAnsi="Arial" w:cs="Arial"/>
          <w:sz w:val="22"/>
          <w:szCs w:val="22"/>
        </w:rPr>
        <w:t>Date of submission</w:t>
      </w:r>
    </w:p>
    <w:p w14:paraId="2B718C62" w14:textId="77777777" w:rsidR="00DE7793" w:rsidRPr="008E4D0D" w:rsidRDefault="00DE7793" w:rsidP="00DE7793">
      <w:pPr>
        <w:numPr>
          <w:ilvl w:val="1"/>
          <w:numId w:val="15"/>
        </w:numPr>
        <w:rPr>
          <w:rFonts w:ascii="Arial" w:hAnsi="Arial" w:cs="Arial"/>
          <w:sz w:val="22"/>
          <w:szCs w:val="22"/>
        </w:rPr>
      </w:pPr>
      <w:r w:rsidRPr="008E4D0D">
        <w:rPr>
          <w:rFonts w:ascii="Arial" w:hAnsi="Arial" w:cs="Arial"/>
          <w:sz w:val="22"/>
          <w:szCs w:val="22"/>
        </w:rPr>
        <w:t>Lead author’s name, titles/roles, mailing address, business and mobile/home telephone numbers, and institutional affiliation and address, email address and fax number</w:t>
      </w:r>
    </w:p>
    <w:p w14:paraId="3E234778" w14:textId="77777777" w:rsidR="00DE7793" w:rsidRPr="008E4D0D" w:rsidRDefault="00DE7793" w:rsidP="00DE7793">
      <w:pPr>
        <w:numPr>
          <w:ilvl w:val="1"/>
          <w:numId w:val="15"/>
        </w:numPr>
        <w:rPr>
          <w:rFonts w:ascii="Arial" w:hAnsi="Arial" w:cs="Arial"/>
          <w:sz w:val="22"/>
          <w:szCs w:val="22"/>
        </w:rPr>
      </w:pPr>
      <w:r w:rsidRPr="008E4D0D">
        <w:rPr>
          <w:rFonts w:ascii="Arial" w:hAnsi="Arial" w:cs="Arial"/>
          <w:sz w:val="22"/>
          <w:szCs w:val="22"/>
        </w:rPr>
        <w:t>Additional authors’ names, titles/roles, institutional affiliations, and email addresses</w:t>
      </w:r>
    </w:p>
    <w:p w14:paraId="6A79A573" w14:textId="77777777" w:rsidR="00DE7793" w:rsidRPr="008E4D0D" w:rsidRDefault="00DE7793" w:rsidP="00DE7793">
      <w:pPr>
        <w:numPr>
          <w:ilvl w:val="1"/>
          <w:numId w:val="15"/>
        </w:numPr>
        <w:rPr>
          <w:rFonts w:ascii="Arial" w:hAnsi="Arial" w:cs="Arial"/>
          <w:sz w:val="22"/>
          <w:szCs w:val="22"/>
        </w:rPr>
      </w:pPr>
      <w:r w:rsidRPr="008E4D0D">
        <w:rPr>
          <w:rFonts w:ascii="Arial" w:hAnsi="Arial" w:cs="Arial"/>
          <w:sz w:val="22"/>
          <w:szCs w:val="22"/>
        </w:rPr>
        <w:t xml:space="preserve">A statement that this manuscript is not under </w:t>
      </w:r>
      <w:proofErr w:type="gramStart"/>
      <w:r w:rsidRPr="008E4D0D">
        <w:rPr>
          <w:rFonts w:ascii="Arial" w:hAnsi="Arial" w:cs="Arial"/>
          <w:sz w:val="22"/>
          <w:szCs w:val="22"/>
        </w:rPr>
        <w:t>consideration</w:t>
      </w:r>
      <w:proofErr w:type="gramEnd"/>
      <w:r w:rsidRPr="008E4D0D">
        <w:rPr>
          <w:rFonts w:ascii="Arial" w:hAnsi="Arial" w:cs="Arial"/>
          <w:sz w:val="22"/>
          <w:szCs w:val="22"/>
        </w:rPr>
        <w:t xml:space="preserve"> nor has it been published elsewhere</w:t>
      </w:r>
    </w:p>
    <w:p w14:paraId="02A89DAD" w14:textId="77777777" w:rsidR="0093433F" w:rsidRPr="00451CD8" w:rsidRDefault="0093433F">
      <w:pPr>
        <w:ind w:left="720"/>
        <w:rPr>
          <w:rFonts w:ascii="Arial" w:hAnsi="Arial" w:cs="Arial"/>
          <w:sz w:val="16"/>
          <w:szCs w:val="16"/>
        </w:rPr>
      </w:pPr>
    </w:p>
    <w:p w14:paraId="367BFFB8" w14:textId="41823251" w:rsidR="00DE7793" w:rsidRPr="00451CD8" w:rsidRDefault="00DE7793" w:rsidP="00DE7793">
      <w:pPr>
        <w:rPr>
          <w:rFonts w:ascii="Arial" w:hAnsi="Arial" w:cs="Arial"/>
          <w:sz w:val="16"/>
          <w:szCs w:val="16"/>
        </w:rPr>
      </w:pPr>
      <w:r w:rsidRPr="00451CD8">
        <w:rPr>
          <w:rFonts w:ascii="Arial" w:hAnsi="Arial" w:cs="Arial"/>
          <w:b/>
          <w:sz w:val="22"/>
          <w:szCs w:val="22"/>
          <w:u w:val="single"/>
        </w:rPr>
        <w:t xml:space="preserve">Review </w:t>
      </w:r>
      <w:r w:rsidR="004D7D18" w:rsidRPr="00451CD8">
        <w:rPr>
          <w:rFonts w:ascii="Arial" w:hAnsi="Arial" w:cs="Arial"/>
          <w:b/>
          <w:sz w:val="22"/>
          <w:szCs w:val="22"/>
          <w:u w:val="single"/>
        </w:rPr>
        <w:t>P</w:t>
      </w:r>
      <w:r w:rsidRPr="00451CD8">
        <w:rPr>
          <w:rFonts w:ascii="Arial" w:hAnsi="Arial" w:cs="Arial"/>
          <w:b/>
          <w:sz w:val="22"/>
          <w:szCs w:val="22"/>
          <w:u w:val="single"/>
        </w:rPr>
        <w:t>rocess</w:t>
      </w:r>
      <w:r w:rsidRPr="008E4D0D">
        <w:rPr>
          <w:rFonts w:ascii="Arial" w:hAnsi="Arial" w:cs="Arial"/>
          <w:b/>
          <w:sz w:val="22"/>
          <w:szCs w:val="22"/>
        </w:rPr>
        <w:br/>
      </w:r>
      <w:r w:rsidRPr="008E4D0D">
        <w:rPr>
          <w:rFonts w:ascii="Arial" w:hAnsi="Arial" w:cs="Arial"/>
          <w:sz w:val="22"/>
          <w:szCs w:val="22"/>
        </w:rPr>
        <w:t xml:space="preserve">Authors will be notified via email upon receipt of their manuscripts. After a preliminary editorial review, manuscripts that meet VACTE specifications will be sent to reviewers. </w:t>
      </w:r>
      <w:proofErr w:type="gramStart"/>
      <w:r w:rsidRPr="008E4D0D">
        <w:rPr>
          <w:rFonts w:ascii="Arial" w:hAnsi="Arial" w:cs="Arial"/>
          <w:sz w:val="22"/>
          <w:szCs w:val="22"/>
        </w:rPr>
        <w:t>With the exception of</w:t>
      </w:r>
      <w:proofErr w:type="gramEnd"/>
      <w:r w:rsidRPr="008E4D0D">
        <w:rPr>
          <w:rFonts w:ascii="Arial" w:hAnsi="Arial" w:cs="Arial"/>
          <w:sz w:val="22"/>
          <w:szCs w:val="22"/>
        </w:rPr>
        <w:t xml:space="preserve"> the cover page, VACTE requires that authors omit any identifying information to ensure a blind review. Authors are encouraged to review the </w:t>
      </w:r>
      <w:hyperlink r:id="rId7">
        <w:r w:rsidRPr="008E4D0D">
          <w:rPr>
            <w:rFonts w:ascii="Arial" w:hAnsi="Arial" w:cs="Arial"/>
            <w:b/>
            <w:color w:val="1155CC"/>
            <w:sz w:val="22"/>
            <w:szCs w:val="22"/>
            <w:u w:val="single"/>
          </w:rPr>
          <w:t>Manuscript Eval</w:t>
        </w:r>
      </w:hyperlink>
      <w:hyperlink r:id="rId8">
        <w:r w:rsidRPr="008E4D0D">
          <w:rPr>
            <w:rFonts w:ascii="Arial" w:hAnsi="Arial" w:cs="Arial"/>
            <w:b/>
            <w:color w:val="1155CC"/>
            <w:sz w:val="22"/>
            <w:szCs w:val="22"/>
            <w:u w:val="single"/>
          </w:rPr>
          <w:t>uation Ins</w:t>
        </w:r>
      </w:hyperlink>
      <w:hyperlink r:id="rId9">
        <w:r w:rsidRPr="008E4D0D">
          <w:rPr>
            <w:rFonts w:ascii="Arial" w:hAnsi="Arial" w:cs="Arial"/>
            <w:b/>
            <w:color w:val="1155CC"/>
            <w:sz w:val="22"/>
            <w:szCs w:val="22"/>
            <w:u w:val="single"/>
          </w:rPr>
          <w:t>trument</w:t>
        </w:r>
      </w:hyperlink>
      <w:r w:rsidRPr="008E4D0D">
        <w:rPr>
          <w:rFonts w:ascii="Arial" w:hAnsi="Arial" w:cs="Arial"/>
          <w:b/>
          <w:color w:val="1155CC"/>
          <w:sz w:val="22"/>
          <w:szCs w:val="22"/>
        </w:rPr>
        <w:t xml:space="preserve"> </w:t>
      </w:r>
      <w:r w:rsidRPr="008E4D0D">
        <w:rPr>
          <w:rFonts w:ascii="Arial" w:hAnsi="Arial" w:cs="Arial"/>
          <w:sz w:val="22"/>
          <w:szCs w:val="22"/>
        </w:rPr>
        <w:t>prior to submitting a manuscript.</w:t>
      </w:r>
      <w:r w:rsidRPr="008E4D0D">
        <w:rPr>
          <w:rFonts w:ascii="Arial" w:hAnsi="Arial" w:cs="Arial"/>
          <w:sz w:val="22"/>
          <w:szCs w:val="22"/>
        </w:rPr>
        <w:br/>
      </w:r>
    </w:p>
    <w:p w14:paraId="4E0DFAA1" w14:textId="1E3CD199" w:rsidR="00DE7793" w:rsidRPr="008E4D0D" w:rsidRDefault="00DE7793" w:rsidP="00DE7793">
      <w:pPr>
        <w:rPr>
          <w:rFonts w:ascii="Arial" w:hAnsi="Arial" w:cs="Arial"/>
          <w:b/>
          <w:color w:val="0000FF"/>
          <w:sz w:val="22"/>
          <w:szCs w:val="22"/>
        </w:rPr>
      </w:pPr>
      <w:r w:rsidRPr="00451CD8">
        <w:rPr>
          <w:rFonts w:ascii="Arial" w:hAnsi="Arial" w:cs="Arial"/>
          <w:b/>
          <w:sz w:val="22"/>
          <w:szCs w:val="22"/>
          <w:u w:val="single"/>
        </w:rPr>
        <w:t xml:space="preserve">Submission Requirements and Communication with </w:t>
      </w:r>
      <w:r w:rsidRPr="00451CD8">
        <w:rPr>
          <w:rFonts w:ascii="Arial" w:hAnsi="Arial" w:cs="Arial"/>
          <w:b/>
          <w:i/>
          <w:sz w:val="22"/>
          <w:szCs w:val="22"/>
          <w:u w:val="single"/>
        </w:rPr>
        <w:t>The Teacher Educators’ Journal</w:t>
      </w:r>
      <w:r w:rsidRPr="00451CD8">
        <w:rPr>
          <w:rFonts w:ascii="Arial" w:hAnsi="Arial" w:cs="Arial"/>
          <w:b/>
          <w:i/>
          <w:sz w:val="22"/>
          <w:szCs w:val="22"/>
          <w:u w:val="single"/>
        </w:rPr>
        <w:br/>
      </w:r>
      <w:r w:rsidRPr="008E4D0D">
        <w:rPr>
          <w:rFonts w:ascii="Arial" w:hAnsi="Arial" w:cs="Arial"/>
          <w:sz w:val="22"/>
          <w:szCs w:val="22"/>
        </w:rPr>
        <w:t xml:space="preserve">Authors should submit an electronic version of their manuscript using the </w:t>
      </w:r>
      <w:hyperlink r:id="rId10">
        <w:r w:rsidRPr="008E4D0D">
          <w:rPr>
            <w:rFonts w:ascii="Arial" w:hAnsi="Arial" w:cs="Arial"/>
            <w:b/>
            <w:color w:val="1155CC"/>
            <w:sz w:val="22"/>
            <w:szCs w:val="22"/>
            <w:u w:val="single"/>
          </w:rPr>
          <w:t>Manuscript Submission For</w:t>
        </w:r>
      </w:hyperlink>
      <w:hyperlink r:id="rId11">
        <w:r w:rsidRPr="008E4D0D">
          <w:rPr>
            <w:rFonts w:ascii="Arial" w:hAnsi="Arial" w:cs="Arial"/>
            <w:b/>
            <w:color w:val="1155CC"/>
            <w:sz w:val="22"/>
            <w:szCs w:val="22"/>
            <w:u w:val="single"/>
          </w:rPr>
          <w:t>m</w:t>
        </w:r>
      </w:hyperlink>
      <w:r w:rsidRPr="008E4D0D">
        <w:rPr>
          <w:rFonts w:ascii="Arial" w:hAnsi="Arial" w:cs="Arial"/>
          <w:sz w:val="22"/>
          <w:szCs w:val="22"/>
        </w:rPr>
        <w:t xml:space="preserve">. </w:t>
      </w:r>
      <w:r w:rsidRPr="008E4D0D">
        <w:rPr>
          <w:rFonts w:ascii="Arial" w:hAnsi="Arial" w:cs="Arial"/>
          <w:b/>
          <w:i/>
          <w:sz w:val="22"/>
          <w:szCs w:val="22"/>
        </w:rPr>
        <w:t xml:space="preserve">All manuscripts must be received by February 1, </w:t>
      </w:r>
      <w:proofErr w:type="gramStart"/>
      <w:r w:rsidRPr="008E4D0D">
        <w:rPr>
          <w:rFonts w:ascii="Arial" w:hAnsi="Arial" w:cs="Arial"/>
          <w:b/>
          <w:i/>
          <w:sz w:val="22"/>
          <w:szCs w:val="22"/>
        </w:rPr>
        <w:t>2023</w:t>
      </w:r>
      <w:proofErr w:type="gramEnd"/>
      <w:r w:rsidRPr="008E4D0D">
        <w:rPr>
          <w:rFonts w:ascii="Arial" w:hAnsi="Arial" w:cs="Arial"/>
          <w:b/>
          <w:i/>
          <w:sz w:val="22"/>
          <w:szCs w:val="22"/>
        </w:rPr>
        <w:t xml:space="preserve"> for consideration for the </w:t>
      </w:r>
      <w:r w:rsidR="00136756" w:rsidRPr="008E4D0D">
        <w:rPr>
          <w:rFonts w:ascii="Arial" w:hAnsi="Arial" w:cs="Arial"/>
          <w:b/>
          <w:i/>
          <w:sz w:val="22"/>
          <w:szCs w:val="22"/>
        </w:rPr>
        <w:t>Fall</w:t>
      </w:r>
      <w:r w:rsidRPr="008E4D0D">
        <w:rPr>
          <w:rFonts w:ascii="Arial" w:hAnsi="Arial" w:cs="Arial"/>
          <w:b/>
          <w:i/>
          <w:sz w:val="22"/>
          <w:szCs w:val="22"/>
        </w:rPr>
        <w:t xml:space="preserve"> 2023 </w:t>
      </w:r>
      <w:r w:rsidR="0011196C" w:rsidRPr="008E4D0D">
        <w:rPr>
          <w:rFonts w:ascii="Arial" w:hAnsi="Arial" w:cs="Arial"/>
          <w:b/>
          <w:i/>
          <w:sz w:val="22"/>
          <w:szCs w:val="22"/>
        </w:rPr>
        <w:t xml:space="preserve">special </w:t>
      </w:r>
      <w:r w:rsidRPr="008E4D0D">
        <w:rPr>
          <w:rFonts w:ascii="Arial" w:hAnsi="Arial" w:cs="Arial"/>
          <w:b/>
          <w:i/>
          <w:sz w:val="22"/>
          <w:szCs w:val="22"/>
        </w:rPr>
        <w:t xml:space="preserve">issue. </w:t>
      </w:r>
      <w:r w:rsidRPr="008E4D0D">
        <w:rPr>
          <w:rFonts w:ascii="Arial" w:hAnsi="Arial" w:cs="Arial"/>
          <w:sz w:val="22"/>
          <w:szCs w:val="22"/>
        </w:rPr>
        <w:t xml:space="preserve">Please direct all questions about the journal to </w:t>
      </w:r>
      <w:hyperlink r:id="rId12">
        <w:r w:rsidRPr="008E4D0D">
          <w:rPr>
            <w:rFonts w:ascii="Arial" w:hAnsi="Arial" w:cs="Arial"/>
            <w:b/>
            <w:color w:val="1155CC"/>
            <w:sz w:val="22"/>
            <w:szCs w:val="22"/>
            <w:u w:val="single"/>
          </w:rPr>
          <w:t>askTTEJ@gmail.com</w:t>
        </w:r>
      </w:hyperlink>
      <w:r w:rsidRPr="008E4D0D">
        <w:rPr>
          <w:rFonts w:ascii="Arial" w:hAnsi="Arial" w:cs="Arial"/>
          <w:b/>
          <w:color w:val="0000FF"/>
          <w:sz w:val="22"/>
          <w:szCs w:val="22"/>
        </w:rPr>
        <w:t>.</w:t>
      </w:r>
    </w:p>
    <w:p w14:paraId="2CCCB04A" w14:textId="77777777" w:rsidR="0093433F" w:rsidRPr="00451CD8" w:rsidRDefault="0093433F">
      <w:pPr>
        <w:widowControl w:val="0"/>
        <w:rPr>
          <w:rFonts w:ascii="Arial" w:hAnsi="Arial" w:cs="Arial"/>
          <w:color w:val="141414"/>
          <w:sz w:val="16"/>
          <w:szCs w:val="16"/>
        </w:rPr>
      </w:pPr>
      <w:bookmarkStart w:id="0" w:name="_gjdgxs" w:colFirst="0" w:colLast="0"/>
      <w:bookmarkStart w:id="1" w:name="_ar6hr0zhq6u7" w:colFirst="0" w:colLast="0"/>
      <w:bookmarkEnd w:id="0"/>
      <w:bookmarkEnd w:id="1"/>
    </w:p>
    <w:p w14:paraId="4393CC44" w14:textId="55309427" w:rsidR="0093433F" w:rsidRPr="008E4D0D" w:rsidRDefault="001F5732">
      <w:pPr>
        <w:shd w:val="clear" w:color="auto" w:fill="FFFFFF"/>
        <w:rPr>
          <w:rFonts w:ascii="Arial" w:hAnsi="Arial" w:cs="Arial"/>
          <w:i/>
          <w:color w:val="1A1A1A"/>
          <w:sz w:val="22"/>
          <w:szCs w:val="22"/>
        </w:rPr>
        <w:sectPr w:rsidR="0093433F" w:rsidRPr="008E4D0D" w:rsidSect="00451CD8">
          <w:pgSz w:w="12240" w:h="15840"/>
          <w:pgMar w:top="720" w:right="720" w:bottom="720" w:left="720" w:header="720" w:footer="720" w:gutter="0"/>
          <w:pgNumType w:start="1"/>
          <w:cols w:space="720"/>
          <w:docGrid w:linePitch="326"/>
        </w:sectPr>
      </w:pPr>
      <w:r w:rsidRPr="008E4D0D">
        <w:rPr>
          <w:rFonts w:ascii="Arial" w:hAnsi="Arial" w:cs="Arial"/>
          <w:i/>
          <w:color w:val="1A1A1A"/>
          <w:sz w:val="22"/>
          <w:szCs w:val="22"/>
        </w:rPr>
        <w:t xml:space="preserve">The Teacher Educators’ Journal </w:t>
      </w:r>
      <w:r w:rsidRPr="008E4D0D">
        <w:rPr>
          <w:rFonts w:ascii="Arial" w:hAnsi="Arial" w:cs="Arial"/>
          <w:color w:val="1A1A1A"/>
          <w:sz w:val="22"/>
          <w:szCs w:val="22"/>
        </w:rPr>
        <w:t>Editorial Team</w:t>
      </w:r>
    </w:p>
    <w:p w14:paraId="07FB82D2" w14:textId="1E3A844D" w:rsidR="0093433F" w:rsidRDefault="001F5732">
      <w:pPr>
        <w:shd w:val="clear" w:color="auto" w:fill="FFFFFF"/>
        <w:rPr>
          <w:rFonts w:ascii="Arial" w:hAnsi="Arial" w:cs="Arial"/>
          <w:color w:val="1A1A1A"/>
          <w:sz w:val="22"/>
          <w:szCs w:val="22"/>
        </w:rPr>
      </w:pPr>
      <w:r w:rsidRPr="008E4D0D">
        <w:rPr>
          <w:rFonts w:ascii="Arial" w:hAnsi="Arial" w:cs="Arial"/>
          <w:color w:val="1A1A1A"/>
          <w:sz w:val="22"/>
          <w:szCs w:val="22"/>
        </w:rPr>
        <w:t xml:space="preserve">Mark </w:t>
      </w:r>
      <w:proofErr w:type="spellStart"/>
      <w:r w:rsidRPr="008E4D0D">
        <w:rPr>
          <w:rFonts w:ascii="Arial" w:hAnsi="Arial" w:cs="Arial"/>
          <w:color w:val="1A1A1A"/>
          <w:sz w:val="22"/>
          <w:szCs w:val="22"/>
        </w:rPr>
        <w:t>Helmsing</w:t>
      </w:r>
      <w:proofErr w:type="spellEnd"/>
      <w:r w:rsidRPr="008E4D0D">
        <w:rPr>
          <w:rFonts w:ascii="Arial" w:hAnsi="Arial" w:cs="Arial"/>
          <w:color w:val="1A1A1A"/>
          <w:sz w:val="22"/>
          <w:szCs w:val="22"/>
        </w:rPr>
        <w:t>, PhD</w:t>
      </w:r>
      <w:r w:rsidR="007E5DC7">
        <w:rPr>
          <w:rFonts w:ascii="Arial" w:hAnsi="Arial" w:cs="Arial"/>
          <w:color w:val="1A1A1A"/>
          <w:sz w:val="22"/>
          <w:szCs w:val="22"/>
        </w:rPr>
        <w:t>, George Mason University</w:t>
      </w:r>
    </w:p>
    <w:p w14:paraId="4C6D33B1" w14:textId="5325C8F2" w:rsidR="007E5DC7" w:rsidRPr="008E4D0D" w:rsidRDefault="007E5DC7" w:rsidP="007E5DC7">
      <w:pPr>
        <w:shd w:val="clear" w:color="auto" w:fill="FFFFFF"/>
        <w:rPr>
          <w:rFonts w:ascii="Arial" w:hAnsi="Arial" w:cs="Arial"/>
          <w:color w:val="1A1A1A"/>
          <w:sz w:val="22"/>
          <w:szCs w:val="22"/>
        </w:rPr>
      </w:pPr>
      <w:r w:rsidRPr="008E4D0D">
        <w:rPr>
          <w:rFonts w:ascii="Arial" w:hAnsi="Arial" w:cs="Arial"/>
          <w:color w:val="1A1A1A"/>
          <w:sz w:val="22"/>
          <w:szCs w:val="22"/>
        </w:rPr>
        <w:t>Holly Glaser, PhD</w:t>
      </w:r>
      <w:r>
        <w:rPr>
          <w:rFonts w:ascii="Arial" w:hAnsi="Arial" w:cs="Arial"/>
          <w:color w:val="1A1A1A"/>
          <w:sz w:val="22"/>
          <w:szCs w:val="22"/>
        </w:rPr>
        <w:t>, George Mason University</w:t>
      </w:r>
    </w:p>
    <w:p w14:paraId="3ED2B516" w14:textId="4168C58C" w:rsidR="007E5DC7" w:rsidRDefault="007E5DC7" w:rsidP="007E5DC7">
      <w:pPr>
        <w:shd w:val="clear" w:color="auto" w:fill="FFFFFF"/>
        <w:rPr>
          <w:rFonts w:ascii="Arial" w:hAnsi="Arial" w:cs="Arial"/>
          <w:color w:val="1A1A1A"/>
          <w:sz w:val="22"/>
          <w:szCs w:val="22"/>
        </w:rPr>
      </w:pPr>
      <w:r w:rsidRPr="008E4D0D">
        <w:rPr>
          <w:rFonts w:ascii="Arial" w:hAnsi="Arial" w:cs="Arial"/>
          <w:color w:val="1A1A1A"/>
          <w:sz w:val="22"/>
          <w:szCs w:val="22"/>
        </w:rPr>
        <w:t xml:space="preserve">Michelle </w:t>
      </w:r>
      <w:proofErr w:type="spellStart"/>
      <w:r w:rsidRPr="008E4D0D">
        <w:rPr>
          <w:rFonts w:ascii="Arial" w:hAnsi="Arial" w:cs="Arial"/>
          <w:color w:val="1A1A1A"/>
          <w:sz w:val="22"/>
          <w:szCs w:val="22"/>
        </w:rPr>
        <w:t>Lague</w:t>
      </w:r>
      <w:proofErr w:type="spellEnd"/>
      <w:r w:rsidRPr="008E4D0D">
        <w:rPr>
          <w:rFonts w:ascii="Arial" w:hAnsi="Arial" w:cs="Arial"/>
          <w:color w:val="1A1A1A"/>
          <w:sz w:val="22"/>
          <w:szCs w:val="22"/>
        </w:rPr>
        <w:t>, M</w:t>
      </w:r>
      <w:r>
        <w:rPr>
          <w:rFonts w:ascii="Arial" w:hAnsi="Arial" w:cs="Arial"/>
          <w:color w:val="1A1A1A"/>
          <w:sz w:val="22"/>
          <w:szCs w:val="22"/>
        </w:rPr>
        <w:t>E</w:t>
      </w:r>
      <w:r w:rsidRPr="008E4D0D">
        <w:rPr>
          <w:rFonts w:ascii="Arial" w:hAnsi="Arial" w:cs="Arial"/>
          <w:color w:val="1A1A1A"/>
          <w:sz w:val="22"/>
          <w:szCs w:val="22"/>
        </w:rPr>
        <w:t>d</w:t>
      </w:r>
      <w:r>
        <w:rPr>
          <w:rFonts w:ascii="Arial" w:hAnsi="Arial" w:cs="Arial"/>
          <w:color w:val="1A1A1A"/>
          <w:sz w:val="22"/>
          <w:szCs w:val="22"/>
        </w:rPr>
        <w:t>, George Mason University</w:t>
      </w:r>
    </w:p>
    <w:p w14:paraId="05ABE042" w14:textId="184CDFF7" w:rsidR="007E5DC7" w:rsidRPr="008E4D0D" w:rsidRDefault="007E5DC7" w:rsidP="007E5DC7">
      <w:pPr>
        <w:shd w:val="clear" w:color="auto" w:fill="FFFFFF"/>
        <w:rPr>
          <w:rFonts w:ascii="Arial" w:hAnsi="Arial" w:cs="Arial"/>
          <w:color w:val="1A1A1A"/>
          <w:sz w:val="22"/>
          <w:szCs w:val="22"/>
        </w:rPr>
      </w:pPr>
      <w:proofErr w:type="spellStart"/>
      <w:r w:rsidRPr="008E4D0D">
        <w:rPr>
          <w:rFonts w:ascii="Arial" w:hAnsi="Arial" w:cs="Arial"/>
          <w:color w:val="1A1A1A"/>
          <w:sz w:val="22"/>
          <w:szCs w:val="22"/>
        </w:rPr>
        <w:t>Kristien</w:t>
      </w:r>
      <w:proofErr w:type="spellEnd"/>
      <w:r w:rsidRPr="008E4D0D">
        <w:rPr>
          <w:rFonts w:ascii="Arial" w:hAnsi="Arial" w:cs="Arial"/>
          <w:color w:val="1A1A1A"/>
          <w:sz w:val="22"/>
          <w:szCs w:val="22"/>
        </w:rPr>
        <w:t xml:space="preserve"> </w:t>
      </w:r>
      <w:proofErr w:type="spellStart"/>
      <w:r w:rsidRPr="008E4D0D">
        <w:rPr>
          <w:rFonts w:ascii="Arial" w:hAnsi="Arial" w:cs="Arial"/>
          <w:color w:val="1A1A1A"/>
          <w:sz w:val="22"/>
          <w:szCs w:val="22"/>
        </w:rPr>
        <w:t>Zenkov</w:t>
      </w:r>
      <w:proofErr w:type="spellEnd"/>
      <w:r w:rsidRPr="008E4D0D">
        <w:rPr>
          <w:rFonts w:ascii="Arial" w:hAnsi="Arial" w:cs="Arial"/>
          <w:color w:val="1A1A1A"/>
          <w:sz w:val="22"/>
          <w:szCs w:val="22"/>
        </w:rPr>
        <w:t>, PhD</w:t>
      </w:r>
      <w:r>
        <w:rPr>
          <w:rFonts w:ascii="Arial" w:hAnsi="Arial" w:cs="Arial"/>
          <w:color w:val="1A1A1A"/>
          <w:sz w:val="22"/>
          <w:szCs w:val="22"/>
        </w:rPr>
        <w:t>, George Mason University</w:t>
      </w:r>
    </w:p>
    <w:p w14:paraId="78B6B3B2" w14:textId="77777777" w:rsidR="000C434E" w:rsidRDefault="000C434E" w:rsidP="00136756">
      <w:pPr>
        <w:shd w:val="clear" w:color="auto" w:fill="FFFFFF"/>
        <w:rPr>
          <w:rFonts w:ascii="Arial" w:hAnsi="Arial" w:cs="Arial"/>
          <w:iCs/>
          <w:color w:val="1A1A1A"/>
          <w:sz w:val="16"/>
          <w:szCs w:val="16"/>
        </w:rPr>
        <w:sectPr w:rsidR="000C434E" w:rsidSect="000C434E">
          <w:type w:val="continuous"/>
          <w:pgSz w:w="12240" w:h="15840"/>
          <w:pgMar w:top="720" w:right="720" w:bottom="720" w:left="720" w:header="720" w:footer="720" w:gutter="0"/>
          <w:pgNumType w:start="1"/>
          <w:cols w:num="2" w:space="720"/>
          <w:docGrid w:linePitch="326"/>
        </w:sectPr>
      </w:pPr>
    </w:p>
    <w:p w14:paraId="505D4BC1" w14:textId="77777777" w:rsidR="00136756" w:rsidRPr="00451CD8" w:rsidRDefault="00136756" w:rsidP="00136756">
      <w:pPr>
        <w:shd w:val="clear" w:color="auto" w:fill="FFFFFF"/>
        <w:rPr>
          <w:rFonts w:ascii="Arial" w:hAnsi="Arial" w:cs="Arial"/>
          <w:iCs/>
          <w:color w:val="1A1A1A"/>
          <w:sz w:val="16"/>
          <w:szCs w:val="16"/>
        </w:rPr>
      </w:pPr>
    </w:p>
    <w:p w14:paraId="7C3E1443" w14:textId="3AF3EFC4" w:rsidR="00136756" w:rsidRPr="00E3525F" w:rsidRDefault="00136756" w:rsidP="00136756">
      <w:pPr>
        <w:shd w:val="clear" w:color="auto" w:fill="FFFFFF"/>
        <w:rPr>
          <w:rFonts w:ascii="Arial" w:hAnsi="Arial" w:cs="Arial"/>
          <w:iCs/>
          <w:color w:val="1A1A1A"/>
          <w:sz w:val="22"/>
          <w:szCs w:val="22"/>
        </w:rPr>
        <w:sectPr w:rsidR="00136756" w:rsidRPr="00E3525F" w:rsidSect="00451CD8">
          <w:type w:val="continuous"/>
          <w:pgSz w:w="12240" w:h="15840"/>
          <w:pgMar w:top="720" w:right="720" w:bottom="720" w:left="720" w:header="720" w:footer="720" w:gutter="0"/>
          <w:pgNumType w:start="1"/>
          <w:cols w:space="720"/>
          <w:docGrid w:linePitch="326"/>
        </w:sectPr>
      </w:pPr>
      <w:r w:rsidRPr="008E4D0D">
        <w:rPr>
          <w:rFonts w:ascii="Arial" w:hAnsi="Arial" w:cs="Arial"/>
          <w:i/>
          <w:color w:val="1A1A1A"/>
          <w:sz w:val="22"/>
          <w:szCs w:val="22"/>
        </w:rPr>
        <w:t xml:space="preserve">The Teacher Educators’ Journal </w:t>
      </w:r>
      <w:r w:rsidRPr="008E4D0D">
        <w:rPr>
          <w:rFonts w:ascii="Arial" w:hAnsi="Arial" w:cs="Arial"/>
          <w:iCs/>
          <w:color w:val="1A1A1A"/>
          <w:sz w:val="22"/>
          <w:szCs w:val="22"/>
        </w:rPr>
        <w:t>Fall 2023 Special Issue Guest Editors</w:t>
      </w:r>
    </w:p>
    <w:p w14:paraId="46EF50DD" w14:textId="49A6213E" w:rsidR="007024E0" w:rsidRPr="008E4D0D" w:rsidRDefault="00136756" w:rsidP="00136756">
      <w:pPr>
        <w:shd w:val="clear" w:color="auto" w:fill="FFFFFF"/>
        <w:rPr>
          <w:rFonts w:ascii="Arial" w:hAnsi="Arial" w:cs="Arial"/>
          <w:color w:val="1A1A1A"/>
          <w:sz w:val="22"/>
          <w:szCs w:val="22"/>
        </w:rPr>
      </w:pPr>
      <w:r w:rsidRPr="008E4D0D">
        <w:rPr>
          <w:rFonts w:ascii="Arial" w:hAnsi="Arial" w:cs="Arial"/>
          <w:color w:val="1A1A1A"/>
          <w:sz w:val="22"/>
          <w:szCs w:val="22"/>
        </w:rPr>
        <w:t xml:space="preserve">Audra Parker, </w:t>
      </w:r>
      <w:r w:rsidR="007024E0">
        <w:rPr>
          <w:rFonts w:ascii="Arial" w:hAnsi="Arial" w:cs="Arial"/>
          <w:color w:val="1A1A1A"/>
          <w:sz w:val="22"/>
          <w:szCs w:val="22"/>
        </w:rPr>
        <w:t>George Mason University</w:t>
      </w:r>
    </w:p>
    <w:p w14:paraId="1F3325AA" w14:textId="357827F7" w:rsidR="00136756" w:rsidRPr="008E4D0D" w:rsidRDefault="00136756" w:rsidP="00136756">
      <w:pPr>
        <w:shd w:val="clear" w:color="auto" w:fill="FFFFFF"/>
        <w:rPr>
          <w:rFonts w:ascii="Arial" w:hAnsi="Arial" w:cs="Arial"/>
          <w:color w:val="1A1A1A"/>
          <w:sz w:val="22"/>
          <w:szCs w:val="22"/>
        </w:rPr>
      </w:pPr>
      <w:r w:rsidRPr="008E4D0D">
        <w:rPr>
          <w:rFonts w:ascii="Arial" w:hAnsi="Arial" w:cs="Arial"/>
          <w:color w:val="1A1A1A"/>
          <w:sz w:val="22"/>
          <w:szCs w:val="22"/>
        </w:rPr>
        <w:t>Doug Rogers</w:t>
      </w:r>
      <w:r w:rsidR="007024E0">
        <w:rPr>
          <w:rFonts w:ascii="Arial" w:hAnsi="Arial" w:cs="Arial"/>
          <w:color w:val="1A1A1A"/>
          <w:sz w:val="22"/>
          <w:szCs w:val="22"/>
        </w:rPr>
        <w:t xml:space="preserve">, </w:t>
      </w:r>
      <w:r w:rsidRPr="008E4D0D">
        <w:rPr>
          <w:rFonts w:ascii="Arial" w:hAnsi="Arial" w:cs="Arial"/>
          <w:color w:val="1A1A1A"/>
          <w:sz w:val="22"/>
          <w:szCs w:val="22"/>
        </w:rPr>
        <w:t>Baylor University</w:t>
      </w:r>
    </w:p>
    <w:p w14:paraId="6D4DA22F" w14:textId="6E62319C" w:rsidR="007024E0" w:rsidRPr="008E4D0D" w:rsidRDefault="00950C01" w:rsidP="00136756">
      <w:pPr>
        <w:shd w:val="clear" w:color="auto" w:fill="FFFFFF"/>
        <w:rPr>
          <w:rFonts w:ascii="Arial" w:hAnsi="Arial" w:cs="Arial"/>
          <w:color w:val="1A1A1A"/>
          <w:sz w:val="22"/>
          <w:szCs w:val="22"/>
        </w:rPr>
      </w:pPr>
      <w:r>
        <w:rPr>
          <w:rFonts w:ascii="Arial" w:hAnsi="Arial" w:cs="Arial"/>
          <w:color w:val="1A1A1A"/>
          <w:sz w:val="22"/>
          <w:szCs w:val="22"/>
        </w:rPr>
        <w:t xml:space="preserve">Elizabeth </w:t>
      </w:r>
      <w:proofErr w:type="spellStart"/>
      <w:r w:rsidR="00136756" w:rsidRPr="008E4D0D">
        <w:rPr>
          <w:rFonts w:ascii="Arial" w:hAnsi="Arial" w:cs="Arial"/>
          <w:color w:val="1A1A1A"/>
          <w:sz w:val="22"/>
          <w:szCs w:val="22"/>
        </w:rPr>
        <w:t>DeMulder</w:t>
      </w:r>
      <w:proofErr w:type="spellEnd"/>
      <w:r>
        <w:rPr>
          <w:rFonts w:ascii="Arial" w:hAnsi="Arial" w:cs="Arial"/>
          <w:color w:val="1A1A1A"/>
          <w:sz w:val="22"/>
          <w:szCs w:val="22"/>
        </w:rPr>
        <w:t>, George Mason University</w:t>
      </w:r>
    </w:p>
    <w:p w14:paraId="5F1F98C3" w14:textId="2F4DCF9E" w:rsidR="007024E0" w:rsidRPr="008E4D0D" w:rsidRDefault="00136756" w:rsidP="00136756">
      <w:pPr>
        <w:shd w:val="clear" w:color="auto" w:fill="FFFFFF"/>
        <w:rPr>
          <w:rFonts w:ascii="Arial" w:hAnsi="Arial" w:cs="Arial"/>
          <w:color w:val="1A1A1A"/>
          <w:sz w:val="22"/>
          <w:szCs w:val="22"/>
        </w:rPr>
      </w:pPr>
      <w:proofErr w:type="spellStart"/>
      <w:r w:rsidRPr="008E4D0D">
        <w:rPr>
          <w:rFonts w:ascii="Arial" w:hAnsi="Arial" w:cs="Arial"/>
          <w:color w:val="1A1A1A"/>
          <w:sz w:val="22"/>
          <w:szCs w:val="22"/>
        </w:rPr>
        <w:t>Jenice</w:t>
      </w:r>
      <w:proofErr w:type="spellEnd"/>
      <w:r w:rsidRPr="008E4D0D">
        <w:rPr>
          <w:rFonts w:ascii="Arial" w:hAnsi="Arial" w:cs="Arial"/>
          <w:color w:val="1A1A1A"/>
          <w:sz w:val="22"/>
          <w:szCs w:val="22"/>
        </w:rPr>
        <w:t xml:space="preserve"> View</w:t>
      </w:r>
      <w:r w:rsidR="00950C01">
        <w:rPr>
          <w:rFonts w:ascii="Arial" w:hAnsi="Arial" w:cs="Arial"/>
          <w:color w:val="1A1A1A"/>
          <w:sz w:val="22"/>
          <w:szCs w:val="22"/>
        </w:rPr>
        <w:t>, George Mason University</w:t>
      </w:r>
    </w:p>
    <w:p w14:paraId="1FE5A66C" w14:textId="58795448" w:rsidR="00950C01" w:rsidRDefault="00136756">
      <w:pPr>
        <w:shd w:val="clear" w:color="auto" w:fill="FFFFFF"/>
        <w:rPr>
          <w:rFonts w:ascii="Arial" w:hAnsi="Arial" w:cs="Arial"/>
          <w:color w:val="1A1A1A"/>
          <w:sz w:val="22"/>
          <w:szCs w:val="22"/>
        </w:rPr>
      </w:pPr>
      <w:r w:rsidRPr="008E4D0D">
        <w:rPr>
          <w:rFonts w:ascii="Arial" w:hAnsi="Arial" w:cs="Arial"/>
          <w:color w:val="1A1A1A"/>
          <w:sz w:val="22"/>
          <w:szCs w:val="22"/>
        </w:rPr>
        <w:t>Stacia Stribling</w:t>
      </w:r>
      <w:r w:rsidR="00950C01">
        <w:rPr>
          <w:rFonts w:ascii="Arial" w:hAnsi="Arial" w:cs="Arial"/>
          <w:color w:val="1A1A1A"/>
          <w:sz w:val="22"/>
          <w:szCs w:val="22"/>
        </w:rPr>
        <w:t>, George Mason University</w:t>
      </w:r>
    </w:p>
    <w:p w14:paraId="059B8851" w14:textId="5DBF844B" w:rsidR="00950C01" w:rsidRPr="008E4D0D" w:rsidRDefault="00950C01">
      <w:pPr>
        <w:shd w:val="clear" w:color="auto" w:fill="FFFFFF"/>
        <w:rPr>
          <w:rFonts w:ascii="Arial" w:hAnsi="Arial" w:cs="Arial"/>
          <w:color w:val="1A1A1A"/>
          <w:sz w:val="22"/>
          <w:szCs w:val="22"/>
        </w:rPr>
        <w:sectPr w:rsidR="00950C01" w:rsidRPr="008E4D0D" w:rsidSect="000C434E">
          <w:type w:val="continuous"/>
          <w:pgSz w:w="12240" w:h="15840"/>
          <w:pgMar w:top="720" w:right="720" w:bottom="720" w:left="720" w:header="720" w:footer="720" w:gutter="0"/>
          <w:cols w:num="2" w:space="720"/>
          <w:docGrid w:linePitch="326"/>
        </w:sectPr>
      </w:pPr>
      <w:r>
        <w:rPr>
          <w:rFonts w:ascii="Arial" w:hAnsi="Arial" w:cs="Arial"/>
          <w:color w:val="1A1A1A"/>
          <w:sz w:val="22"/>
          <w:szCs w:val="22"/>
        </w:rPr>
        <w:t>Regina Biggs, George Mason University</w:t>
      </w:r>
    </w:p>
    <w:p w14:paraId="645FC9FC" w14:textId="77777777" w:rsidR="008D101B" w:rsidRPr="008E4D0D" w:rsidRDefault="008D101B" w:rsidP="00720CF3">
      <w:pPr>
        <w:shd w:val="clear" w:color="auto" w:fill="FFFFFF"/>
        <w:rPr>
          <w:rFonts w:ascii="Arial" w:hAnsi="Arial" w:cs="Arial"/>
          <w:b/>
          <w:i/>
          <w:sz w:val="22"/>
          <w:szCs w:val="22"/>
        </w:rPr>
        <w:sectPr w:rsidR="008D101B" w:rsidRPr="008E4D0D" w:rsidSect="00451CD8">
          <w:type w:val="continuous"/>
          <w:pgSz w:w="12240" w:h="15840"/>
          <w:pgMar w:top="720" w:right="720" w:bottom="720" w:left="720" w:header="720" w:footer="720" w:gutter="0"/>
          <w:cols w:num="2" w:space="720" w:equalWidth="0">
            <w:col w:w="5040" w:space="720"/>
            <w:col w:w="5040" w:space="0"/>
          </w:cols>
          <w:docGrid w:linePitch="326"/>
        </w:sectPr>
      </w:pPr>
    </w:p>
    <w:p w14:paraId="762C6507" w14:textId="77777777" w:rsidR="008D101B" w:rsidRPr="008E4D0D" w:rsidRDefault="008D101B" w:rsidP="00720CF3">
      <w:pPr>
        <w:rPr>
          <w:rFonts w:ascii="Arial" w:hAnsi="Arial" w:cs="Arial"/>
          <w:color w:val="1A1A1A"/>
          <w:sz w:val="22"/>
          <w:szCs w:val="22"/>
        </w:rPr>
      </w:pPr>
    </w:p>
    <w:sectPr w:rsidR="008D101B" w:rsidRPr="008E4D0D" w:rsidSect="00451CD8">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DAA"/>
    <w:multiLevelType w:val="hybridMultilevel"/>
    <w:tmpl w:val="034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03A1"/>
    <w:multiLevelType w:val="multilevel"/>
    <w:tmpl w:val="C1846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A2EA3"/>
    <w:multiLevelType w:val="multilevel"/>
    <w:tmpl w:val="C05871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AE1AB0"/>
    <w:multiLevelType w:val="multilevel"/>
    <w:tmpl w:val="FBCC6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0C5D9B"/>
    <w:multiLevelType w:val="multilevel"/>
    <w:tmpl w:val="9A1A5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E3187"/>
    <w:multiLevelType w:val="multilevel"/>
    <w:tmpl w:val="7900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EC2D68"/>
    <w:multiLevelType w:val="hybridMultilevel"/>
    <w:tmpl w:val="24E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0CBF"/>
    <w:multiLevelType w:val="hybridMultilevel"/>
    <w:tmpl w:val="B024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52E22"/>
    <w:multiLevelType w:val="hybridMultilevel"/>
    <w:tmpl w:val="70D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8F7"/>
    <w:multiLevelType w:val="multilevel"/>
    <w:tmpl w:val="14707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8863AF"/>
    <w:multiLevelType w:val="hybridMultilevel"/>
    <w:tmpl w:val="17C6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40A87"/>
    <w:multiLevelType w:val="multilevel"/>
    <w:tmpl w:val="25605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A6E72"/>
    <w:multiLevelType w:val="multilevel"/>
    <w:tmpl w:val="9F56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2026C7"/>
    <w:multiLevelType w:val="hybridMultilevel"/>
    <w:tmpl w:val="40F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430CD"/>
    <w:multiLevelType w:val="hybridMultilevel"/>
    <w:tmpl w:val="E7F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93963"/>
    <w:multiLevelType w:val="multilevel"/>
    <w:tmpl w:val="81B22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22B4E59"/>
    <w:multiLevelType w:val="multilevel"/>
    <w:tmpl w:val="019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23EEA"/>
    <w:multiLevelType w:val="multilevel"/>
    <w:tmpl w:val="A79E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135124">
    <w:abstractNumId w:val="5"/>
  </w:num>
  <w:num w:numId="2" w16cid:durableId="322514359">
    <w:abstractNumId w:val="1"/>
  </w:num>
  <w:num w:numId="3" w16cid:durableId="529029386">
    <w:abstractNumId w:val="2"/>
  </w:num>
  <w:num w:numId="4" w16cid:durableId="1172258117">
    <w:abstractNumId w:val="15"/>
  </w:num>
  <w:num w:numId="5" w16cid:durableId="1774861993">
    <w:abstractNumId w:val="6"/>
  </w:num>
  <w:num w:numId="6" w16cid:durableId="2085176923">
    <w:abstractNumId w:val="13"/>
  </w:num>
  <w:num w:numId="7" w16cid:durableId="1733845785">
    <w:abstractNumId w:val="0"/>
  </w:num>
  <w:num w:numId="8" w16cid:durableId="503472061">
    <w:abstractNumId w:val="7"/>
  </w:num>
  <w:num w:numId="9" w16cid:durableId="519126524">
    <w:abstractNumId w:val="10"/>
  </w:num>
  <w:num w:numId="10" w16cid:durableId="640889573">
    <w:abstractNumId w:val="8"/>
  </w:num>
  <w:num w:numId="11" w16cid:durableId="1691637263">
    <w:abstractNumId w:val="3"/>
  </w:num>
  <w:num w:numId="12" w16cid:durableId="1420952094">
    <w:abstractNumId w:val="9"/>
  </w:num>
  <w:num w:numId="13" w16cid:durableId="1940866742">
    <w:abstractNumId w:val="12"/>
  </w:num>
  <w:num w:numId="14" w16cid:durableId="1771198269">
    <w:abstractNumId w:val="17"/>
  </w:num>
  <w:num w:numId="15" w16cid:durableId="282612829">
    <w:abstractNumId w:val="11"/>
  </w:num>
  <w:num w:numId="16" w16cid:durableId="1343891951">
    <w:abstractNumId w:val="16"/>
  </w:num>
  <w:num w:numId="17" w16cid:durableId="1272740350">
    <w:abstractNumId w:val="14"/>
  </w:num>
  <w:num w:numId="18" w16cid:durableId="568464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3F"/>
    <w:rsid w:val="000C434E"/>
    <w:rsid w:val="000F35B4"/>
    <w:rsid w:val="0011196C"/>
    <w:rsid w:val="001202EC"/>
    <w:rsid w:val="00136756"/>
    <w:rsid w:val="00177293"/>
    <w:rsid w:val="001D1FA2"/>
    <w:rsid w:val="001F5732"/>
    <w:rsid w:val="002F28F7"/>
    <w:rsid w:val="00344C1D"/>
    <w:rsid w:val="003527D2"/>
    <w:rsid w:val="00371D26"/>
    <w:rsid w:val="003739B1"/>
    <w:rsid w:val="00392410"/>
    <w:rsid w:val="003F68CF"/>
    <w:rsid w:val="00451CD8"/>
    <w:rsid w:val="004D7D18"/>
    <w:rsid w:val="00517C7F"/>
    <w:rsid w:val="0052704E"/>
    <w:rsid w:val="00556326"/>
    <w:rsid w:val="005677F5"/>
    <w:rsid w:val="005F637E"/>
    <w:rsid w:val="0066703E"/>
    <w:rsid w:val="00682872"/>
    <w:rsid w:val="007024E0"/>
    <w:rsid w:val="007133AF"/>
    <w:rsid w:val="00720CF3"/>
    <w:rsid w:val="00764376"/>
    <w:rsid w:val="00774A88"/>
    <w:rsid w:val="007B3AAC"/>
    <w:rsid w:val="007C280B"/>
    <w:rsid w:val="007E2049"/>
    <w:rsid w:val="007E5DC7"/>
    <w:rsid w:val="00804ACC"/>
    <w:rsid w:val="008C7BA3"/>
    <w:rsid w:val="008D101B"/>
    <w:rsid w:val="008E4D0D"/>
    <w:rsid w:val="008E7AB1"/>
    <w:rsid w:val="0093433F"/>
    <w:rsid w:val="00950C01"/>
    <w:rsid w:val="009521BC"/>
    <w:rsid w:val="009C40B7"/>
    <w:rsid w:val="00A009DA"/>
    <w:rsid w:val="00A04082"/>
    <w:rsid w:val="00A1710D"/>
    <w:rsid w:val="00A669E0"/>
    <w:rsid w:val="00AC5843"/>
    <w:rsid w:val="00AD4D49"/>
    <w:rsid w:val="00AE29A8"/>
    <w:rsid w:val="00AF1C07"/>
    <w:rsid w:val="00B24224"/>
    <w:rsid w:val="00B64383"/>
    <w:rsid w:val="00B7642E"/>
    <w:rsid w:val="00B80CD6"/>
    <w:rsid w:val="00BC2309"/>
    <w:rsid w:val="00BE0B8A"/>
    <w:rsid w:val="00C66744"/>
    <w:rsid w:val="00CA780C"/>
    <w:rsid w:val="00CD7F71"/>
    <w:rsid w:val="00D23303"/>
    <w:rsid w:val="00D353E8"/>
    <w:rsid w:val="00D66610"/>
    <w:rsid w:val="00D87D4A"/>
    <w:rsid w:val="00D949D6"/>
    <w:rsid w:val="00D96A50"/>
    <w:rsid w:val="00DD53E3"/>
    <w:rsid w:val="00DE7793"/>
    <w:rsid w:val="00E3525F"/>
    <w:rsid w:val="00E57FDC"/>
    <w:rsid w:val="00EB140C"/>
    <w:rsid w:val="00F2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00A8"/>
  <w15:docId w15:val="{54A0D8B5-E6EA-B54C-BDEC-220DDE83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6A50"/>
    <w:pPr>
      <w:ind w:left="720"/>
      <w:contextualSpacing/>
    </w:pPr>
  </w:style>
  <w:style w:type="character" w:styleId="Emphasis">
    <w:name w:val="Emphasis"/>
    <w:basedOn w:val="DefaultParagraphFont"/>
    <w:uiPriority w:val="20"/>
    <w:qFormat/>
    <w:rsid w:val="002F28F7"/>
    <w:rPr>
      <w:i/>
      <w:iCs/>
    </w:rPr>
  </w:style>
  <w:style w:type="character" w:styleId="Strong">
    <w:name w:val="Strong"/>
    <w:basedOn w:val="DefaultParagraphFont"/>
    <w:uiPriority w:val="22"/>
    <w:qFormat/>
    <w:rsid w:val="00AD4D49"/>
    <w:rPr>
      <w:b/>
      <w:bCs/>
    </w:rPr>
  </w:style>
  <w:style w:type="character" w:styleId="Hyperlink">
    <w:name w:val="Hyperlink"/>
    <w:basedOn w:val="DefaultParagraphFont"/>
    <w:uiPriority w:val="99"/>
    <w:unhideWhenUsed/>
    <w:rsid w:val="00D87D4A"/>
    <w:rPr>
      <w:color w:val="0000FF" w:themeColor="hyperlink"/>
      <w:u w:val="single"/>
    </w:rPr>
  </w:style>
  <w:style w:type="character" w:styleId="UnresolvedMention">
    <w:name w:val="Unresolved Mention"/>
    <w:basedOn w:val="DefaultParagraphFont"/>
    <w:uiPriority w:val="99"/>
    <w:semiHidden/>
    <w:unhideWhenUsed/>
    <w:rsid w:val="00D87D4A"/>
    <w:rPr>
      <w:color w:val="605E5C"/>
      <w:shd w:val="clear" w:color="auto" w:fill="E1DFDD"/>
    </w:rPr>
  </w:style>
  <w:style w:type="paragraph" w:styleId="Revision">
    <w:name w:val="Revision"/>
    <w:hidden/>
    <w:uiPriority w:val="99"/>
    <w:semiHidden/>
    <w:rsid w:val="00517C7F"/>
  </w:style>
  <w:style w:type="paragraph" w:styleId="NormalWeb">
    <w:name w:val="Normal (Web)"/>
    <w:basedOn w:val="Normal"/>
    <w:uiPriority w:val="99"/>
    <w:unhideWhenUsed/>
    <w:rsid w:val="008C7BA3"/>
    <w:pPr>
      <w:spacing w:before="100" w:beforeAutospacing="1" w:after="100" w:afterAutospacing="1"/>
    </w:pPr>
  </w:style>
  <w:style w:type="character" w:styleId="CommentReference">
    <w:name w:val="annotation reference"/>
    <w:basedOn w:val="DefaultParagraphFont"/>
    <w:uiPriority w:val="99"/>
    <w:semiHidden/>
    <w:unhideWhenUsed/>
    <w:rsid w:val="00A669E0"/>
    <w:rPr>
      <w:sz w:val="16"/>
      <w:szCs w:val="16"/>
    </w:rPr>
  </w:style>
  <w:style w:type="paragraph" w:styleId="CommentText">
    <w:name w:val="annotation text"/>
    <w:basedOn w:val="Normal"/>
    <w:link w:val="CommentTextChar"/>
    <w:uiPriority w:val="99"/>
    <w:semiHidden/>
    <w:unhideWhenUsed/>
    <w:rsid w:val="008E7AB1"/>
    <w:rPr>
      <w:sz w:val="20"/>
      <w:szCs w:val="20"/>
    </w:rPr>
  </w:style>
  <w:style w:type="character" w:customStyle="1" w:styleId="CommentTextChar">
    <w:name w:val="Comment Text Char"/>
    <w:basedOn w:val="DefaultParagraphFont"/>
    <w:link w:val="CommentText"/>
    <w:uiPriority w:val="99"/>
    <w:semiHidden/>
    <w:rsid w:val="008E7AB1"/>
    <w:rPr>
      <w:sz w:val="20"/>
      <w:szCs w:val="20"/>
    </w:rPr>
  </w:style>
  <w:style w:type="paragraph" w:styleId="CommentSubject">
    <w:name w:val="annotation subject"/>
    <w:basedOn w:val="CommentText"/>
    <w:next w:val="CommentText"/>
    <w:link w:val="CommentSubjectChar"/>
    <w:uiPriority w:val="99"/>
    <w:semiHidden/>
    <w:unhideWhenUsed/>
    <w:rsid w:val="008E7AB1"/>
    <w:rPr>
      <w:b/>
      <w:bCs/>
    </w:rPr>
  </w:style>
  <w:style w:type="character" w:customStyle="1" w:styleId="CommentSubjectChar">
    <w:name w:val="Comment Subject Char"/>
    <w:basedOn w:val="CommentTextChar"/>
    <w:link w:val="CommentSubject"/>
    <w:uiPriority w:val="99"/>
    <w:semiHidden/>
    <w:rsid w:val="008E7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3415">
      <w:bodyDiv w:val="1"/>
      <w:marLeft w:val="0"/>
      <w:marRight w:val="0"/>
      <w:marTop w:val="0"/>
      <w:marBottom w:val="0"/>
      <w:divBdr>
        <w:top w:val="none" w:sz="0" w:space="0" w:color="auto"/>
        <w:left w:val="none" w:sz="0" w:space="0" w:color="auto"/>
        <w:bottom w:val="none" w:sz="0" w:space="0" w:color="auto"/>
        <w:right w:val="none" w:sz="0" w:space="0" w:color="auto"/>
      </w:divBdr>
    </w:div>
    <w:div w:id="552499208">
      <w:bodyDiv w:val="1"/>
      <w:marLeft w:val="0"/>
      <w:marRight w:val="0"/>
      <w:marTop w:val="0"/>
      <w:marBottom w:val="0"/>
      <w:divBdr>
        <w:top w:val="none" w:sz="0" w:space="0" w:color="auto"/>
        <w:left w:val="none" w:sz="0" w:space="0" w:color="auto"/>
        <w:bottom w:val="none" w:sz="0" w:space="0" w:color="auto"/>
        <w:right w:val="none" w:sz="0" w:space="0" w:color="auto"/>
      </w:divBdr>
    </w:div>
    <w:div w:id="652217159">
      <w:bodyDiv w:val="1"/>
      <w:marLeft w:val="0"/>
      <w:marRight w:val="0"/>
      <w:marTop w:val="0"/>
      <w:marBottom w:val="0"/>
      <w:divBdr>
        <w:top w:val="none" w:sz="0" w:space="0" w:color="auto"/>
        <w:left w:val="none" w:sz="0" w:space="0" w:color="auto"/>
        <w:bottom w:val="none" w:sz="0" w:space="0" w:color="auto"/>
        <w:right w:val="none" w:sz="0" w:space="0" w:color="auto"/>
      </w:divBdr>
    </w:div>
    <w:div w:id="1721435655">
      <w:bodyDiv w:val="1"/>
      <w:marLeft w:val="0"/>
      <w:marRight w:val="0"/>
      <w:marTop w:val="0"/>
      <w:marBottom w:val="0"/>
      <w:divBdr>
        <w:top w:val="none" w:sz="0" w:space="0" w:color="auto"/>
        <w:left w:val="none" w:sz="0" w:space="0" w:color="auto"/>
        <w:bottom w:val="none" w:sz="0" w:space="0" w:color="auto"/>
        <w:right w:val="none" w:sz="0" w:space="0" w:color="auto"/>
      </w:divBdr>
    </w:div>
    <w:div w:id="213393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jA6sw_hFi1gxaqH7jqYAAYgM4m-w4WxN8eQ7PRXPKM/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WjA6sw_hFi1gxaqH7jqYAAYgM4m-w4WxN8eQ7PRXPKM/edit?usp=sharing" TargetMode="External"/><Relationship Id="rId12" Type="http://schemas.openxmlformats.org/officeDocument/2006/relationships/hyperlink" Target="mailto:askTTE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e1.org/standards-for-teacher-educators" TargetMode="External"/><Relationship Id="rId11" Type="http://schemas.openxmlformats.org/officeDocument/2006/relationships/hyperlink" Target="https://docs.google.com/forms/d/e/1FAIpQLSdE6ST1jXePnn0imuDiADKKQE0lT7mGrn2mBTRdSEZmAdoO2Q/viewform?usp=sf_link" TargetMode="External"/><Relationship Id="rId5" Type="http://schemas.openxmlformats.org/officeDocument/2006/relationships/image" Target="media/image1.png"/><Relationship Id="rId10" Type="http://schemas.openxmlformats.org/officeDocument/2006/relationships/hyperlink" Target="https://docs.google.com/forms/d/e/1FAIpQLSdE6ST1jXePnn0imuDiADKKQE0lT7mGrn2mBTRdSEZmAdoO2Q/viewform?usp=sf_link" TargetMode="External"/><Relationship Id="rId4" Type="http://schemas.openxmlformats.org/officeDocument/2006/relationships/webSettings" Target="webSettings.xml"/><Relationship Id="rId9" Type="http://schemas.openxmlformats.org/officeDocument/2006/relationships/hyperlink" Target="https://docs.google.com/document/d/1WjA6sw_hFi1gxaqH7jqYAAYgM4m-w4WxN8eQ7PRXPKM/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Kristien Zenkov</cp:lastModifiedBy>
  <cp:revision>3</cp:revision>
  <dcterms:created xsi:type="dcterms:W3CDTF">2022-09-27T13:54:00Z</dcterms:created>
  <dcterms:modified xsi:type="dcterms:W3CDTF">2022-10-09T22:04:00Z</dcterms:modified>
</cp:coreProperties>
</file>